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D01" w:rsidRDefault="00BD64F7">
      <w:r>
        <w:t xml:space="preserve">Le compte courant du Trésor est alimenté par les flux de recettes de l’état </w:t>
      </w:r>
    </w:p>
    <w:p w:rsidR="00BD64F7" w:rsidRDefault="00BD64F7">
      <w:r>
        <w:t>Ce compte est géré par la BCT</w:t>
      </w:r>
    </w:p>
    <w:p w:rsidR="00BD64F7" w:rsidRDefault="00BD64F7">
      <w:r>
        <w:t xml:space="preserve">La BCT assure le </w:t>
      </w:r>
      <w:r w:rsidR="0067416D">
        <w:t>financement</w:t>
      </w:r>
      <w:r>
        <w:t xml:space="preserve"> de ce compte en cas de déficit</w:t>
      </w:r>
    </w:p>
    <w:p w:rsidR="00BD64F7" w:rsidRDefault="00BD64F7">
      <w:r>
        <w:t>La BCT se charge de créditer  le compte courant du Trésor lorsqu’il est payé par chèque</w:t>
      </w:r>
    </w:p>
    <w:p w:rsidR="00BD64F7" w:rsidRDefault="00BD64F7">
      <w:r>
        <w:t>Les recettes du Trésor  sont soit déposé dans le compte courant postal ou chez le compte courant à la BCT</w:t>
      </w:r>
    </w:p>
    <w:sectPr w:rsidR="00BD64F7" w:rsidSect="002112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D64F7"/>
    <w:rsid w:val="00211275"/>
    <w:rsid w:val="00240A34"/>
    <w:rsid w:val="00616E68"/>
    <w:rsid w:val="0067416D"/>
    <w:rsid w:val="00BD6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27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</Words>
  <Characters>306</Characters>
  <Application>Microsoft Office Word</Application>
  <DocSecurity>0</DocSecurity>
  <Lines>2</Lines>
  <Paragraphs>1</Paragraphs>
  <ScaleCrop>false</ScaleCrop>
  <Company>.</Company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4</cp:revision>
  <dcterms:created xsi:type="dcterms:W3CDTF">2011-05-01T21:04:00Z</dcterms:created>
  <dcterms:modified xsi:type="dcterms:W3CDTF">2011-05-01T21:11:00Z</dcterms:modified>
</cp:coreProperties>
</file>