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47D" w:rsidRPr="00594320" w:rsidRDefault="00A4647D" w:rsidP="003463FF">
      <w:pPr>
        <w:pStyle w:val="En-tte"/>
        <w:rPr>
          <w:rFonts w:asciiTheme="majorBidi" w:hAnsiTheme="majorBidi" w:cstheme="majorBidi"/>
          <w:sz w:val="28"/>
          <w:szCs w:val="28"/>
        </w:rPr>
      </w:pPr>
      <w:r w:rsidRPr="00594320">
        <w:rPr>
          <w:rFonts w:asciiTheme="majorBidi" w:hAnsiTheme="majorBidi" w:cstheme="majorBidi"/>
          <w:sz w:val="28"/>
          <w:szCs w:val="28"/>
        </w:rPr>
        <w:t xml:space="preserve">Institut </w:t>
      </w:r>
      <w:r w:rsidR="003463FF" w:rsidRPr="00594320">
        <w:rPr>
          <w:rFonts w:asciiTheme="majorBidi" w:hAnsiTheme="majorBidi" w:cstheme="majorBidi"/>
          <w:sz w:val="28"/>
          <w:szCs w:val="28"/>
        </w:rPr>
        <w:t xml:space="preserve">des Hautes Etudes Commerciales- Carthage </w:t>
      </w:r>
      <w:r w:rsidRPr="00594320">
        <w:rPr>
          <w:rFonts w:asciiTheme="majorBidi" w:hAnsiTheme="majorBidi" w:cstheme="majorBidi"/>
          <w:sz w:val="28"/>
          <w:szCs w:val="28"/>
        </w:rPr>
        <w:t xml:space="preserve"> </w:t>
      </w:r>
    </w:p>
    <w:p w:rsidR="00A4647D" w:rsidRPr="00594320" w:rsidRDefault="00DF1BBD" w:rsidP="00A4647D">
      <w:pPr>
        <w:pStyle w:val="En-tte"/>
        <w:rPr>
          <w:rFonts w:asciiTheme="majorBidi" w:hAnsiTheme="majorBidi" w:cstheme="majorBidi"/>
          <w:sz w:val="28"/>
          <w:szCs w:val="28"/>
        </w:rPr>
      </w:pPr>
      <w:r w:rsidRPr="00594320">
        <w:rPr>
          <w:rFonts w:asciiTheme="majorBidi" w:hAnsiTheme="majorBidi" w:cstheme="majorBidi"/>
          <w:sz w:val="28"/>
          <w:szCs w:val="28"/>
        </w:rPr>
        <w:t>Deuxième</w:t>
      </w:r>
      <w:r w:rsidR="00A4647D" w:rsidRPr="00594320">
        <w:rPr>
          <w:rFonts w:asciiTheme="majorBidi" w:hAnsiTheme="majorBidi" w:cstheme="majorBidi"/>
          <w:sz w:val="28"/>
          <w:szCs w:val="28"/>
        </w:rPr>
        <w:t xml:space="preserve"> Année LMD Révision Comptable </w:t>
      </w:r>
    </w:p>
    <w:p w:rsidR="00A4647D" w:rsidRPr="00594320" w:rsidRDefault="00A4647D" w:rsidP="00A4647D">
      <w:pPr>
        <w:pStyle w:val="En-tte"/>
        <w:rPr>
          <w:rFonts w:asciiTheme="majorBidi" w:hAnsiTheme="majorBidi" w:cstheme="majorBidi"/>
          <w:sz w:val="28"/>
          <w:szCs w:val="28"/>
        </w:rPr>
      </w:pPr>
      <w:r w:rsidRPr="00594320">
        <w:rPr>
          <w:rFonts w:asciiTheme="majorBidi" w:hAnsiTheme="majorBidi" w:cstheme="majorBidi"/>
          <w:sz w:val="28"/>
          <w:szCs w:val="28"/>
        </w:rPr>
        <w:t xml:space="preserve"> </w:t>
      </w:r>
    </w:p>
    <w:p w:rsidR="00A4647D" w:rsidRPr="00594320" w:rsidRDefault="00A4647D" w:rsidP="00A4647D">
      <w:pPr>
        <w:tabs>
          <w:tab w:val="left" w:pos="1350"/>
        </w:tabs>
        <w:jc w:val="center"/>
        <w:rPr>
          <w:rFonts w:asciiTheme="majorBidi" w:hAnsiTheme="majorBidi" w:cstheme="majorBidi"/>
          <w:b/>
          <w:bCs/>
          <w:sz w:val="28"/>
          <w:szCs w:val="28"/>
        </w:rPr>
      </w:pPr>
    </w:p>
    <w:p w:rsidR="00180C7E" w:rsidRPr="00594320" w:rsidRDefault="00180C7E" w:rsidP="00A4647D">
      <w:pPr>
        <w:tabs>
          <w:tab w:val="left" w:pos="1350"/>
        </w:tabs>
        <w:jc w:val="center"/>
        <w:rPr>
          <w:rFonts w:asciiTheme="majorBidi" w:hAnsiTheme="majorBidi" w:cstheme="majorBidi"/>
          <w:b/>
          <w:bCs/>
          <w:sz w:val="28"/>
          <w:szCs w:val="28"/>
        </w:rPr>
      </w:pPr>
    </w:p>
    <w:p w:rsidR="00A4647D" w:rsidRPr="00594320" w:rsidRDefault="00A4647D" w:rsidP="00A4647D">
      <w:pPr>
        <w:tabs>
          <w:tab w:val="left" w:pos="1350"/>
        </w:tabs>
        <w:jc w:val="center"/>
        <w:rPr>
          <w:rFonts w:asciiTheme="majorBidi" w:hAnsiTheme="majorBidi" w:cstheme="majorBidi"/>
          <w:b/>
          <w:bCs/>
          <w:sz w:val="28"/>
          <w:szCs w:val="28"/>
        </w:rPr>
      </w:pPr>
      <w:r w:rsidRPr="00594320">
        <w:rPr>
          <w:rFonts w:asciiTheme="majorBidi" w:hAnsiTheme="majorBidi" w:cstheme="majorBidi"/>
          <w:b/>
          <w:bCs/>
          <w:sz w:val="28"/>
          <w:szCs w:val="28"/>
        </w:rPr>
        <w:t>Epreuve  "Fiscalité</w:t>
      </w:r>
      <w:r w:rsidR="00DD48FD" w:rsidRPr="00594320">
        <w:rPr>
          <w:rFonts w:asciiTheme="majorBidi" w:hAnsiTheme="majorBidi" w:cstheme="majorBidi"/>
          <w:b/>
          <w:bCs/>
          <w:sz w:val="28"/>
          <w:szCs w:val="28"/>
        </w:rPr>
        <w:t xml:space="preserve"> Internationale</w:t>
      </w:r>
      <w:r w:rsidRPr="00594320">
        <w:rPr>
          <w:rFonts w:asciiTheme="majorBidi" w:hAnsiTheme="majorBidi" w:cstheme="majorBidi"/>
          <w:b/>
          <w:bCs/>
          <w:sz w:val="28"/>
          <w:szCs w:val="28"/>
        </w:rPr>
        <w:t>"</w:t>
      </w:r>
    </w:p>
    <w:p w:rsidR="00A4647D" w:rsidRPr="00594320" w:rsidRDefault="00A4647D" w:rsidP="00A4647D">
      <w:pPr>
        <w:tabs>
          <w:tab w:val="left" w:pos="1350"/>
        </w:tabs>
        <w:jc w:val="center"/>
        <w:rPr>
          <w:rFonts w:asciiTheme="majorBidi" w:hAnsiTheme="majorBidi" w:cstheme="majorBidi"/>
          <w:b/>
          <w:bCs/>
          <w:sz w:val="28"/>
          <w:szCs w:val="28"/>
        </w:rPr>
      </w:pPr>
      <w:r w:rsidRPr="00594320">
        <w:rPr>
          <w:rFonts w:asciiTheme="majorBidi" w:hAnsiTheme="majorBidi" w:cstheme="majorBidi"/>
          <w:b/>
          <w:bCs/>
          <w:sz w:val="28"/>
          <w:szCs w:val="28"/>
        </w:rPr>
        <w:t xml:space="preserve">Décembre  2011 </w:t>
      </w:r>
    </w:p>
    <w:p w:rsidR="00A4647D" w:rsidRPr="00594320" w:rsidRDefault="00A4647D" w:rsidP="00505346">
      <w:pPr>
        <w:ind w:firstLine="540"/>
        <w:jc w:val="both"/>
        <w:rPr>
          <w:rFonts w:asciiTheme="majorBidi" w:hAnsiTheme="majorBidi" w:cstheme="majorBidi"/>
          <w:sz w:val="28"/>
          <w:szCs w:val="28"/>
        </w:rPr>
      </w:pPr>
    </w:p>
    <w:p w:rsidR="00180C7E" w:rsidRPr="00594320" w:rsidRDefault="00180C7E" w:rsidP="00505346">
      <w:pPr>
        <w:ind w:firstLine="540"/>
        <w:jc w:val="both"/>
        <w:rPr>
          <w:rFonts w:asciiTheme="majorBidi" w:hAnsiTheme="majorBidi" w:cstheme="majorBidi"/>
          <w:sz w:val="28"/>
          <w:szCs w:val="28"/>
        </w:rPr>
      </w:pPr>
    </w:p>
    <w:p w:rsidR="00180C7E" w:rsidRPr="00594320" w:rsidRDefault="00180C7E" w:rsidP="00505346">
      <w:pPr>
        <w:ind w:firstLine="540"/>
        <w:jc w:val="both"/>
        <w:rPr>
          <w:rFonts w:asciiTheme="majorBidi" w:hAnsiTheme="majorBidi" w:cstheme="majorBidi"/>
          <w:sz w:val="28"/>
          <w:szCs w:val="28"/>
        </w:rPr>
      </w:pPr>
    </w:p>
    <w:p w:rsidR="00CF525E" w:rsidRPr="00594320" w:rsidRDefault="00CF525E" w:rsidP="00DD48FD">
      <w:pPr>
        <w:ind w:firstLine="540"/>
        <w:jc w:val="both"/>
        <w:rPr>
          <w:rFonts w:asciiTheme="majorBidi" w:hAnsiTheme="majorBidi" w:cstheme="majorBidi"/>
          <w:sz w:val="28"/>
          <w:szCs w:val="28"/>
        </w:rPr>
      </w:pPr>
      <w:r w:rsidRPr="00594320">
        <w:rPr>
          <w:rFonts w:asciiTheme="majorBidi" w:hAnsiTheme="majorBidi" w:cstheme="majorBidi"/>
          <w:sz w:val="28"/>
          <w:szCs w:val="28"/>
        </w:rPr>
        <w:t>La société </w:t>
      </w:r>
      <w:r w:rsidR="004A31C9" w:rsidRPr="00594320">
        <w:rPr>
          <w:rFonts w:asciiTheme="majorBidi" w:hAnsiTheme="majorBidi" w:cstheme="majorBidi"/>
          <w:sz w:val="28"/>
          <w:szCs w:val="28"/>
        </w:rPr>
        <w:t xml:space="preserve">« Tunisie – Travaux » </w:t>
      </w:r>
      <w:r w:rsidRPr="00594320">
        <w:rPr>
          <w:rFonts w:asciiTheme="majorBidi" w:hAnsiTheme="majorBidi" w:cstheme="majorBidi"/>
          <w:sz w:val="28"/>
          <w:szCs w:val="28"/>
        </w:rPr>
        <w:t xml:space="preserve">est une société anonyme sise  à Tunis qui exerce son activité dans le domaine des travaux publics et de bâtiments. </w:t>
      </w:r>
    </w:p>
    <w:p w:rsidR="00CF525E" w:rsidRPr="00594320" w:rsidRDefault="00CF525E">
      <w:pPr>
        <w:ind w:firstLine="540"/>
        <w:jc w:val="both"/>
        <w:rPr>
          <w:rFonts w:asciiTheme="majorBidi" w:hAnsiTheme="majorBidi" w:cstheme="majorBidi"/>
          <w:sz w:val="28"/>
          <w:szCs w:val="28"/>
        </w:rPr>
      </w:pPr>
    </w:p>
    <w:p w:rsidR="00CF525E" w:rsidRPr="00594320" w:rsidRDefault="00CF525E" w:rsidP="00E81EA6">
      <w:pPr>
        <w:ind w:firstLine="540"/>
        <w:jc w:val="both"/>
        <w:rPr>
          <w:rFonts w:asciiTheme="majorBidi" w:hAnsiTheme="majorBidi" w:cstheme="majorBidi"/>
          <w:sz w:val="28"/>
          <w:szCs w:val="28"/>
        </w:rPr>
      </w:pPr>
      <w:r w:rsidRPr="00594320">
        <w:rPr>
          <w:rFonts w:asciiTheme="majorBidi" w:hAnsiTheme="majorBidi" w:cstheme="majorBidi"/>
          <w:sz w:val="28"/>
          <w:szCs w:val="28"/>
        </w:rPr>
        <w:t xml:space="preserve">La société </w:t>
      </w:r>
      <w:r w:rsidR="00C1649D" w:rsidRPr="00594320">
        <w:rPr>
          <w:rFonts w:asciiTheme="majorBidi" w:hAnsiTheme="majorBidi" w:cstheme="majorBidi"/>
          <w:sz w:val="28"/>
          <w:szCs w:val="28"/>
        </w:rPr>
        <w:t xml:space="preserve">« Tunisie – Travaux » </w:t>
      </w:r>
      <w:r w:rsidRPr="00594320">
        <w:rPr>
          <w:rFonts w:asciiTheme="majorBidi" w:hAnsiTheme="majorBidi" w:cstheme="majorBidi"/>
          <w:sz w:val="28"/>
          <w:szCs w:val="28"/>
        </w:rPr>
        <w:t xml:space="preserve">a constitué un groupement avec </w:t>
      </w:r>
      <w:r w:rsidR="00DD48FD" w:rsidRPr="00594320">
        <w:rPr>
          <w:rFonts w:asciiTheme="majorBidi" w:hAnsiTheme="majorBidi" w:cstheme="majorBidi"/>
          <w:sz w:val="28"/>
          <w:szCs w:val="28"/>
        </w:rPr>
        <w:t>une</w:t>
      </w:r>
      <w:r w:rsidRPr="00594320">
        <w:rPr>
          <w:rFonts w:asciiTheme="majorBidi" w:hAnsiTheme="majorBidi" w:cstheme="majorBidi"/>
          <w:sz w:val="28"/>
          <w:szCs w:val="28"/>
        </w:rPr>
        <w:t xml:space="preserve"> </w:t>
      </w:r>
      <w:r w:rsidR="009B4E5B" w:rsidRPr="00594320">
        <w:rPr>
          <w:rFonts w:asciiTheme="majorBidi" w:hAnsiTheme="majorBidi" w:cstheme="majorBidi"/>
          <w:sz w:val="28"/>
          <w:szCs w:val="28"/>
        </w:rPr>
        <w:t xml:space="preserve">autre </w:t>
      </w:r>
      <w:r w:rsidRPr="00594320">
        <w:rPr>
          <w:rFonts w:asciiTheme="majorBidi" w:hAnsiTheme="majorBidi" w:cstheme="majorBidi"/>
          <w:sz w:val="28"/>
          <w:szCs w:val="28"/>
        </w:rPr>
        <w:t xml:space="preserve">société </w:t>
      </w:r>
      <w:r w:rsidR="00DD48FD" w:rsidRPr="00594320">
        <w:rPr>
          <w:rFonts w:asciiTheme="majorBidi" w:hAnsiTheme="majorBidi" w:cstheme="majorBidi"/>
          <w:sz w:val="28"/>
          <w:szCs w:val="28"/>
        </w:rPr>
        <w:t xml:space="preserve">résidente en </w:t>
      </w:r>
      <w:r w:rsidR="00C837C6" w:rsidRPr="00594320">
        <w:rPr>
          <w:rFonts w:asciiTheme="majorBidi" w:hAnsiTheme="majorBidi" w:cstheme="majorBidi"/>
          <w:sz w:val="28"/>
          <w:szCs w:val="28"/>
        </w:rPr>
        <w:t>Tunisie</w:t>
      </w:r>
      <w:r w:rsidR="00DD48FD" w:rsidRPr="00594320">
        <w:rPr>
          <w:rFonts w:asciiTheme="majorBidi" w:hAnsiTheme="majorBidi" w:cstheme="majorBidi"/>
          <w:sz w:val="28"/>
          <w:szCs w:val="28"/>
        </w:rPr>
        <w:t xml:space="preserve"> </w:t>
      </w:r>
      <w:r w:rsidRPr="00594320">
        <w:rPr>
          <w:rFonts w:asciiTheme="majorBidi" w:hAnsiTheme="majorBidi" w:cstheme="majorBidi"/>
          <w:sz w:val="28"/>
          <w:szCs w:val="28"/>
        </w:rPr>
        <w:t xml:space="preserve">et une société résidente </w:t>
      </w:r>
      <w:r w:rsidR="00C837C6" w:rsidRPr="00594320">
        <w:rPr>
          <w:rFonts w:asciiTheme="majorBidi" w:hAnsiTheme="majorBidi" w:cstheme="majorBidi"/>
          <w:sz w:val="28"/>
          <w:szCs w:val="28"/>
        </w:rPr>
        <w:t>en Afrique</w:t>
      </w:r>
      <w:r w:rsidR="006A2158" w:rsidRPr="00594320">
        <w:rPr>
          <w:rFonts w:asciiTheme="majorBidi" w:hAnsiTheme="majorBidi" w:cstheme="majorBidi"/>
          <w:sz w:val="28"/>
          <w:szCs w:val="28"/>
          <w:lang w:bidi="ar-TN"/>
        </w:rPr>
        <w:t xml:space="preserve"> du Sud</w:t>
      </w:r>
      <w:r w:rsidR="004C0ED5" w:rsidRPr="00594320">
        <w:rPr>
          <w:rFonts w:asciiTheme="majorBidi" w:hAnsiTheme="majorBidi" w:cstheme="majorBidi"/>
          <w:sz w:val="28"/>
          <w:szCs w:val="28"/>
        </w:rPr>
        <w:t xml:space="preserve">. Le groupement a signé un marché </w:t>
      </w:r>
      <w:r w:rsidRPr="00594320">
        <w:rPr>
          <w:rFonts w:asciiTheme="majorBidi" w:hAnsiTheme="majorBidi" w:cstheme="majorBidi"/>
          <w:sz w:val="28"/>
          <w:szCs w:val="28"/>
        </w:rPr>
        <w:t xml:space="preserve">pour la construction d’un </w:t>
      </w:r>
      <w:r w:rsidR="00DD48FD" w:rsidRPr="00594320">
        <w:rPr>
          <w:rFonts w:asciiTheme="majorBidi" w:hAnsiTheme="majorBidi" w:cstheme="majorBidi"/>
          <w:sz w:val="28"/>
          <w:szCs w:val="28"/>
        </w:rPr>
        <w:t>tronçon d’</w:t>
      </w:r>
      <w:r w:rsidR="006A2158" w:rsidRPr="00594320">
        <w:rPr>
          <w:rFonts w:asciiTheme="majorBidi" w:hAnsiTheme="majorBidi" w:cstheme="majorBidi"/>
          <w:sz w:val="28"/>
          <w:szCs w:val="28"/>
        </w:rPr>
        <w:t xml:space="preserve">une </w:t>
      </w:r>
      <w:r w:rsidR="00DD48FD" w:rsidRPr="00594320">
        <w:rPr>
          <w:rFonts w:asciiTheme="majorBidi" w:hAnsiTheme="majorBidi" w:cstheme="majorBidi"/>
          <w:sz w:val="28"/>
          <w:szCs w:val="28"/>
        </w:rPr>
        <w:t xml:space="preserve">autoroute </w:t>
      </w:r>
      <w:r w:rsidRPr="00594320">
        <w:rPr>
          <w:rFonts w:asciiTheme="majorBidi" w:hAnsiTheme="majorBidi" w:cstheme="majorBidi"/>
          <w:sz w:val="28"/>
          <w:szCs w:val="28"/>
        </w:rPr>
        <w:t xml:space="preserve"> pour une durée de 5 mois à compter du 1</w:t>
      </w:r>
      <w:r w:rsidRPr="00594320">
        <w:rPr>
          <w:rFonts w:asciiTheme="majorBidi" w:hAnsiTheme="majorBidi" w:cstheme="majorBidi"/>
          <w:sz w:val="28"/>
          <w:szCs w:val="28"/>
          <w:vertAlign w:val="superscript"/>
        </w:rPr>
        <w:t>er</w:t>
      </w:r>
      <w:r w:rsidRPr="00594320">
        <w:rPr>
          <w:rFonts w:asciiTheme="majorBidi" w:hAnsiTheme="majorBidi" w:cstheme="majorBidi"/>
          <w:sz w:val="28"/>
          <w:szCs w:val="28"/>
        </w:rPr>
        <w:t xml:space="preserve"> </w:t>
      </w:r>
      <w:r w:rsidR="003667DD" w:rsidRPr="00594320">
        <w:rPr>
          <w:rFonts w:asciiTheme="majorBidi" w:hAnsiTheme="majorBidi" w:cstheme="majorBidi"/>
          <w:sz w:val="28"/>
          <w:szCs w:val="28"/>
        </w:rPr>
        <w:t>mars</w:t>
      </w:r>
      <w:r w:rsidRPr="00594320">
        <w:rPr>
          <w:rFonts w:asciiTheme="majorBidi" w:hAnsiTheme="majorBidi" w:cstheme="majorBidi"/>
          <w:sz w:val="28"/>
          <w:szCs w:val="28"/>
        </w:rPr>
        <w:t xml:space="preserve"> </w:t>
      </w:r>
      <w:r w:rsidR="006753D6" w:rsidRPr="00594320">
        <w:rPr>
          <w:rFonts w:asciiTheme="majorBidi" w:hAnsiTheme="majorBidi" w:cstheme="majorBidi"/>
          <w:sz w:val="28"/>
          <w:szCs w:val="28"/>
        </w:rPr>
        <w:t>2011</w:t>
      </w:r>
      <w:r w:rsidR="00B32C02" w:rsidRPr="00594320">
        <w:rPr>
          <w:rFonts w:asciiTheme="majorBidi" w:hAnsiTheme="majorBidi" w:cstheme="majorBidi"/>
          <w:sz w:val="28"/>
          <w:szCs w:val="28"/>
        </w:rPr>
        <w:t>.</w:t>
      </w:r>
    </w:p>
    <w:p w:rsidR="00CF525E" w:rsidRPr="00594320" w:rsidRDefault="00CF525E">
      <w:pPr>
        <w:ind w:firstLine="540"/>
        <w:jc w:val="both"/>
        <w:rPr>
          <w:rFonts w:asciiTheme="majorBidi" w:hAnsiTheme="majorBidi" w:cstheme="majorBidi"/>
          <w:sz w:val="28"/>
          <w:szCs w:val="28"/>
        </w:rPr>
      </w:pPr>
    </w:p>
    <w:p w:rsidR="00CF525E" w:rsidRPr="00594320" w:rsidRDefault="00CF525E" w:rsidP="00141D51">
      <w:pPr>
        <w:ind w:firstLine="540"/>
        <w:jc w:val="both"/>
        <w:rPr>
          <w:rFonts w:asciiTheme="majorBidi" w:hAnsiTheme="majorBidi" w:cstheme="majorBidi"/>
          <w:sz w:val="28"/>
          <w:szCs w:val="28"/>
        </w:rPr>
      </w:pPr>
      <w:r w:rsidRPr="00594320">
        <w:rPr>
          <w:rFonts w:asciiTheme="majorBidi" w:hAnsiTheme="majorBidi" w:cstheme="majorBidi"/>
          <w:sz w:val="28"/>
          <w:szCs w:val="28"/>
        </w:rPr>
        <w:t xml:space="preserve"> Le montant global du marché s’élève à </w:t>
      </w:r>
      <w:r w:rsidR="00DD48FD" w:rsidRPr="00594320">
        <w:rPr>
          <w:rFonts w:asciiTheme="majorBidi" w:hAnsiTheme="majorBidi" w:cstheme="majorBidi"/>
          <w:sz w:val="28"/>
          <w:szCs w:val="28"/>
        </w:rPr>
        <w:t>5</w:t>
      </w:r>
      <w:r w:rsidRPr="00594320">
        <w:rPr>
          <w:rFonts w:asciiTheme="majorBidi" w:hAnsiTheme="majorBidi" w:cstheme="majorBidi"/>
          <w:sz w:val="28"/>
          <w:szCs w:val="28"/>
        </w:rPr>
        <w:t>.</w:t>
      </w:r>
      <w:r w:rsidR="00DD48FD" w:rsidRPr="00594320">
        <w:rPr>
          <w:rFonts w:asciiTheme="majorBidi" w:hAnsiTheme="majorBidi" w:cstheme="majorBidi"/>
          <w:sz w:val="28"/>
          <w:szCs w:val="28"/>
        </w:rPr>
        <w:t>320</w:t>
      </w:r>
      <w:r w:rsidRPr="00594320">
        <w:rPr>
          <w:rFonts w:asciiTheme="majorBidi" w:hAnsiTheme="majorBidi" w:cstheme="majorBidi"/>
          <w:sz w:val="28"/>
          <w:szCs w:val="28"/>
        </w:rPr>
        <w:t>.</w:t>
      </w:r>
      <w:r w:rsidR="00DD48FD" w:rsidRPr="00594320">
        <w:rPr>
          <w:rFonts w:asciiTheme="majorBidi" w:hAnsiTheme="majorBidi" w:cstheme="majorBidi"/>
          <w:sz w:val="28"/>
          <w:szCs w:val="28"/>
        </w:rPr>
        <w:t>000</w:t>
      </w:r>
      <w:r w:rsidR="007A65FE" w:rsidRPr="00594320">
        <w:rPr>
          <w:rFonts w:asciiTheme="majorBidi" w:hAnsiTheme="majorBidi" w:cstheme="majorBidi"/>
          <w:sz w:val="28"/>
          <w:szCs w:val="28"/>
        </w:rPr>
        <w:t xml:space="preserve"> D TTC. La </w:t>
      </w:r>
      <w:r w:rsidR="00141D51" w:rsidRPr="00594320">
        <w:rPr>
          <w:rFonts w:asciiTheme="majorBidi" w:hAnsiTheme="majorBidi" w:cstheme="majorBidi"/>
          <w:sz w:val="28"/>
          <w:szCs w:val="28"/>
        </w:rPr>
        <w:t>part</w:t>
      </w:r>
      <w:r w:rsidR="007A65FE" w:rsidRPr="00594320">
        <w:rPr>
          <w:rFonts w:asciiTheme="majorBidi" w:hAnsiTheme="majorBidi" w:cstheme="majorBidi"/>
          <w:sz w:val="28"/>
          <w:szCs w:val="28"/>
        </w:rPr>
        <w:t xml:space="preserve"> de chaque membre </w:t>
      </w:r>
      <w:r w:rsidR="00141D51" w:rsidRPr="00594320">
        <w:rPr>
          <w:rFonts w:asciiTheme="majorBidi" w:hAnsiTheme="majorBidi" w:cstheme="majorBidi"/>
          <w:sz w:val="28"/>
          <w:szCs w:val="28"/>
        </w:rPr>
        <w:t xml:space="preserve">est </w:t>
      </w:r>
      <w:r w:rsidR="007A65FE" w:rsidRPr="00594320">
        <w:rPr>
          <w:rFonts w:asciiTheme="majorBidi" w:hAnsiTheme="majorBidi" w:cstheme="majorBidi"/>
          <w:sz w:val="28"/>
          <w:szCs w:val="28"/>
        </w:rPr>
        <w:t>de</w:t>
      </w:r>
      <w:r w:rsidRPr="00594320">
        <w:rPr>
          <w:rFonts w:asciiTheme="majorBidi" w:hAnsiTheme="majorBidi" w:cstheme="majorBidi"/>
          <w:sz w:val="28"/>
          <w:szCs w:val="28"/>
        </w:rPr>
        <w:t xml:space="preserve">: </w:t>
      </w:r>
    </w:p>
    <w:p w:rsidR="00CF525E" w:rsidRPr="00594320" w:rsidRDefault="00CF525E">
      <w:pPr>
        <w:ind w:firstLine="540"/>
        <w:jc w:val="both"/>
        <w:rPr>
          <w:rFonts w:asciiTheme="majorBidi" w:hAnsiTheme="majorBidi" w:cstheme="majorBidi"/>
          <w:sz w:val="28"/>
          <w:szCs w:val="28"/>
        </w:rPr>
      </w:pPr>
    </w:p>
    <w:p w:rsidR="00E81901" w:rsidRPr="00594320" w:rsidRDefault="007A65FE" w:rsidP="006A2158">
      <w:pPr>
        <w:numPr>
          <w:ilvl w:val="0"/>
          <w:numId w:val="13"/>
        </w:numPr>
        <w:jc w:val="both"/>
        <w:rPr>
          <w:rFonts w:asciiTheme="majorBidi" w:hAnsiTheme="majorBidi" w:cstheme="majorBidi"/>
          <w:sz w:val="28"/>
          <w:szCs w:val="28"/>
        </w:rPr>
      </w:pPr>
      <w:r w:rsidRPr="00594320">
        <w:rPr>
          <w:rFonts w:asciiTheme="majorBidi" w:hAnsiTheme="majorBidi" w:cstheme="majorBidi"/>
          <w:sz w:val="28"/>
          <w:szCs w:val="28"/>
        </w:rPr>
        <w:t xml:space="preserve">45% </w:t>
      </w:r>
      <w:r w:rsidR="006A2158" w:rsidRPr="00594320">
        <w:rPr>
          <w:rFonts w:asciiTheme="majorBidi" w:hAnsiTheme="majorBidi" w:cstheme="majorBidi"/>
          <w:sz w:val="28"/>
          <w:szCs w:val="28"/>
        </w:rPr>
        <w:t>pour la société tunisienne « Tunisie – Travaux »</w:t>
      </w:r>
      <w:r w:rsidR="00E81901" w:rsidRPr="00594320">
        <w:rPr>
          <w:rFonts w:asciiTheme="majorBidi" w:hAnsiTheme="majorBidi" w:cstheme="majorBidi"/>
          <w:sz w:val="28"/>
          <w:szCs w:val="28"/>
        </w:rPr>
        <w:t xml:space="preserve">, </w:t>
      </w:r>
    </w:p>
    <w:p w:rsidR="00CF525E" w:rsidRPr="00594320" w:rsidRDefault="007A65FE" w:rsidP="006A2158">
      <w:pPr>
        <w:numPr>
          <w:ilvl w:val="0"/>
          <w:numId w:val="13"/>
        </w:numPr>
        <w:jc w:val="both"/>
        <w:rPr>
          <w:rFonts w:asciiTheme="majorBidi" w:hAnsiTheme="majorBidi" w:cstheme="majorBidi"/>
          <w:sz w:val="28"/>
          <w:szCs w:val="28"/>
        </w:rPr>
      </w:pPr>
      <w:r w:rsidRPr="00594320">
        <w:rPr>
          <w:rFonts w:asciiTheme="majorBidi" w:hAnsiTheme="majorBidi" w:cstheme="majorBidi"/>
          <w:sz w:val="28"/>
          <w:szCs w:val="28"/>
        </w:rPr>
        <w:t xml:space="preserve">35%  pour </w:t>
      </w:r>
      <w:r w:rsidR="00CF525E" w:rsidRPr="00594320">
        <w:rPr>
          <w:rFonts w:asciiTheme="majorBidi" w:hAnsiTheme="majorBidi" w:cstheme="majorBidi"/>
          <w:sz w:val="28"/>
          <w:szCs w:val="28"/>
        </w:rPr>
        <w:t xml:space="preserve">la société </w:t>
      </w:r>
      <w:r w:rsidR="006A2158" w:rsidRPr="00594320">
        <w:rPr>
          <w:rFonts w:asciiTheme="majorBidi" w:hAnsiTheme="majorBidi" w:cstheme="majorBidi"/>
          <w:sz w:val="28"/>
          <w:szCs w:val="28"/>
        </w:rPr>
        <w:t>résidente en Afrique du Sud</w:t>
      </w:r>
      <w:r w:rsidRPr="00594320">
        <w:rPr>
          <w:rFonts w:asciiTheme="majorBidi" w:hAnsiTheme="majorBidi" w:cstheme="majorBidi"/>
          <w:sz w:val="28"/>
          <w:szCs w:val="28"/>
        </w:rPr>
        <w:t>,</w:t>
      </w:r>
      <w:r w:rsidR="00CF525E" w:rsidRPr="00594320">
        <w:rPr>
          <w:rFonts w:asciiTheme="majorBidi" w:hAnsiTheme="majorBidi" w:cstheme="majorBidi"/>
          <w:sz w:val="28"/>
          <w:szCs w:val="28"/>
        </w:rPr>
        <w:t xml:space="preserve"> </w:t>
      </w:r>
      <w:r w:rsidR="007B72B8" w:rsidRPr="00594320">
        <w:rPr>
          <w:rFonts w:asciiTheme="majorBidi" w:hAnsiTheme="majorBidi" w:cstheme="majorBidi"/>
          <w:sz w:val="28"/>
          <w:szCs w:val="28"/>
        </w:rPr>
        <w:tab/>
      </w:r>
      <w:r w:rsidR="00CF525E" w:rsidRPr="00594320">
        <w:rPr>
          <w:rFonts w:asciiTheme="majorBidi" w:hAnsiTheme="majorBidi" w:cstheme="majorBidi"/>
          <w:sz w:val="28"/>
          <w:szCs w:val="28"/>
        </w:rPr>
        <w:t xml:space="preserve"> </w:t>
      </w:r>
    </w:p>
    <w:p w:rsidR="00CF525E" w:rsidRPr="00594320" w:rsidRDefault="007A65FE" w:rsidP="006A2158">
      <w:pPr>
        <w:numPr>
          <w:ilvl w:val="0"/>
          <w:numId w:val="13"/>
        </w:numPr>
        <w:jc w:val="both"/>
        <w:rPr>
          <w:rFonts w:asciiTheme="majorBidi" w:hAnsiTheme="majorBidi" w:cstheme="majorBidi"/>
          <w:sz w:val="28"/>
          <w:szCs w:val="28"/>
        </w:rPr>
      </w:pPr>
      <w:r w:rsidRPr="00594320">
        <w:rPr>
          <w:rFonts w:asciiTheme="majorBidi" w:hAnsiTheme="majorBidi" w:cstheme="majorBidi"/>
          <w:sz w:val="28"/>
          <w:szCs w:val="28"/>
        </w:rPr>
        <w:t xml:space="preserve">20% pour </w:t>
      </w:r>
      <w:r w:rsidR="006A2158" w:rsidRPr="00594320">
        <w:rPr>
          <w:rFonts w:asciiTheme="majorBidi" w:hAnsiTheme="majorBidi" w:cstheme="majorBidi"/>
          <w:sz w:val="28"/>
          <w:szCs w:val="28"/>
        </w:rPr>
        <w:t>l’autre société tunisienne</w:t>
      </w:r>
      <w:r w:rsidRPr="00594320">
        <w:rPr>
          <w:rFonts w:asciiTheme="majorBidi" w:hAnsiTheme="majorBidi" w:cstheme="majorBidi"/>
          <w:sz w:val="28"/>
          <w:szCs w:val="28"/>
        </w:rPr>
        <w:t>.</w:t>
      </w:r>
      <w:r w:rsidR="007B72B8" w:rsidRPr="00594320">
        <w:rPr>
          <w:rFonts w:asciiTheme="majorBidi" w:hAnsiTheme="majorBidi" w:cstheme="majorBidi"/>
          <w:sz w:val="28"/>
          <w:szCs w:val="28"/>
        </w:rPr>
        <w:tab/>
      </w:r>
    </w:p>
    <w:p w:rsidR="00CF525E" w:rsidRPr="00594320" w:rsidRDefault="00CF525E">
      <w:pPr>
        <w:ind w:left="540"/>
        <w:jc w:val="both"/>
        <w:rPr>
          <w:rFonts w:asciiTheme="majorBidi" w:hAnsiTheme="majorBidi" w:cstheme="majorBidi"/>
          <w:sz w:val="28"/>
          <w:szCs w:val="28"/>
        </w:rPr>
      </w:pPr>
    </w:p>
    <w:p w:rsidR="00CF525E" w:rsidRPr="00594320" w:rsidRDefault="00CF525E" w:rsidP="00B95365">
      <w:pPr>
        <w:ind w:firstLine="540"/>
        <w:jc w:val="both"/>
        <w:rPr>
          <w:rFonts w:asciiTheme="majorBidi" w:hAnsiTheme="majorBidi" w:cstheme="majorBidi"/>
          <w:sz w:val="28"/>
          <w:szCs w:val="28"/>
        </w:rPr>
      </w:pPr>
      <w:r w:rsidRPr="00594320">
        <w:rPr>
          <w:rFonts w:asciiTheme="majorBidi" w:hAnsiTheme="majorBidi" w:cstheme="majorBidi"/>
          <w:sz w:val="28"/>
          <w:szCs w:val="28"/>
        </w:rPr>
        <w:t xml:space="preserve">La marge bénéficiaire nette revenant à chaque membre dans le cadre du marché en question est estimée à </w:t>
      </w:r>
      <w:r w:rsidR="00B95365" w:rsidRPr="00594320">
        <w:rPr>
          <w:rFonts w:asciiTheme="majorBidi" w:hAnsiTheme="majorBidi" w:cstheme="majorBidi"/>
          <w:sz w:val="28"/>
          <w:szCs w:val="28"/>
        </w:rPr>
        <w:t>10</w:t>
      </w:r>
      <w:r w:rsidRPr="00594320">
        <w:rPr>
          <w:rFonts w:asciiTheme="majorBidi" w:hAnsiTheme="majorBidi" w:cstheme="majorBidi"/>
          <w:sz w:val="28"/>
          <w:szCs w:val="28"/>
        </w:rPr>
        <w:t>%.</w:t>
      </w:r>
    </w:p>
    <w:p w:rsidR="00077B4B" w:rsidRPr="00594320" w:rsidRDefault="00077B4B" w:rsidP="00B95365">
      <w:pPr>
        <w:ind w:firstLine="540"/>
        <w:jc w:val="both"/>
        <w:rPr>
          <w:rFonts w:asciiTheme="majorBidi" w:hAnsiTheme="majorBidi" w:cstheme="majorBidi"/>
          <w:sz w:val="28"/>
          <w:szCs w:val="28"/>
        </w:rPr>
      </w:pPr>
    </w:p>
    <w:p w:rsidR="00054192" w:rsidRPr="00594320" w:rsidRDefault="00A73993" w:rsidP="00436F59">
      <w:pPr>
        <w:ind w:firstLine="540"/>
        <w:jc w:val="both"/>
        <w:rPr>
          <w:rFonts w:asciiTheme="majorBidi" w:hAnsiTheme="majorBidi" w:cstheme="majorBidi"/>
          <w:sz w:val="28"/>
          <w:szCs w:val="28"/>
        </w:rPr>
      </w:pPr>
      <w:r w:rsidRPr="00594320">
        <w:rPr>
          <w:rFonts w:asciiTheme="majorBidi" w:hAnsiTheme="majorBidi" w:cstheme="majorBidi"/>
          <w:sz w:val="28"/>
          <w:szCs w:val="28"/>
        </w:rPr>
        <w:t>Au cours de l</w:t>
      </w:r>
      <w:r w:rsidR="00436F59" w:rsidRPr="00594320">
        <w:rPr>
          <w:rFonts w:asciiTheme="majorBidi" w:hAnsiTheme="majorBidi" w:cstheme="majorBidi"/>
          <w:sz w:val="28"/>
          <w:szCs w:val="28"/>
        </w:rPr>
        <w:t xml:space="preserve">a même </w:t>
      </w:r>
      <w:r w:rsidRPr="00594320">
        <w:rPr>
          <w:rFonts w:asciiTheme="majorBidi" w:hAnsiTheme="majorBidi" w:cstheme="majorBidi"/>
          <w:sz w:val="28"/>
          <w:szCs w:val="28"/>
        </w:rPr>
        <w:t xml:space="preserve">année, </w:t>
      </w:r>
      <w:r w:rsidR="009F5C6B" w:rsidRPr="00594320">
        <w:rPr>
          <w:rFonts w:asciiTheme="majorBidi" w:hAnsiTheme="majorBidi" w:cstheme="majorBidi"/>
          <w:sz w:val="28"/>
          <w:szCs w:val="28"/>
        </w:rPr>
        <w:t>l</w:t>
      </w:r>
      <w:r w:rsidRPr="00594320">
        <w:rPr>
          <w:rFonts w:asciiTheme="majorBidi" w:hAnsiTheme="majorBidi" w:cstheme="majorBidi"/>
          <w:sz w:val="28"/>
          <w:szCs w:val="28"/>
        </w:rPr>
        <w:t>a société « Tunisie – Travaux »</w:t>
      </w:r>
      <w:r w:rsidR="00054192" w:rsidRPr="00594320">
        <w:rPr>
          <w:rFonts w:asciiTheme="majorBidi" w:hAnsiTheme="majorBidi" w:cstheme="majorBidi"/>
          <w:sz w:val="28"/>
          <w:szCs w:val="28"/>
        </w:rPr>
        <w:t> </w:t>
      </w:r>
      <w:r w:rsidR="009B4E5B" w:rsidRPr="00594320">
        <w:rPr>
          <w:rFonts w:asciiTheme="majorBidi" w:hAnsiTheme="majorBidi" w:cstheme="majorBidi"/>
          <w:sz w:val="28"/>
          <w:szCs w:val="28"/>
        </w:rPr>
        <w:t xml:space="preserve">a </w:t>
      </w:r>
      <w:r w:rsidR="00054192" w:rsidRPr="00594320">
        <w:rPr>
          <w:rFonts w:asciiTheme="majorBidi" w:hAnsiTheme="majorBidi" w:cstheme="majorBidi"/>
          <w:sz w:val="28"/>
          <w:szCs w:val="28"/>
        </w:rPr>
        <w:t>:</w:t>
      </w:r>
    </w:p>
    <w:p w:rsidR="00054192" w:rsidRPr="00594320" w:rsidRDefault="00054192" w:rsidP="00054192">
      <w:pPr>
        <w:ind w:firstLine="540"/>
        <w:jc w:val="both"/>
        <w:rPr>
          <w:rFonts w:asciiTheme="majorBidi" w:hAnsiTheme="majorBidi" w:cstheme="majorBidi"/>
          <w:sz w:val="28"/>
          <w:szCs w:val="28"/>
        </w:rPr>
      </w:pPr>
    </w:p>
    <w:p w:rsidR="003B7D11" w:rsidRPr="00594320" w:rsidRDefault="003B7D11" w:rsidP="009B4E5B">
      <w:pPr>
        <w:pStyle w:val="Paragraphedeliste"/>
        <w:numPr>
          <w:ilvl w:val="0"/>
          <w:numId w:val="13"/>
        </w:numPr>
        <w:jc w:val="both"/>
        <w:rPr>
          <w:rFonts w:asciiTheme="majorBidi" w:hAnsiTheme="majorBidi" w:cstheme="majorBidi"/>
          <w:sz w:val="28"/>
          <w:szCs w:val="28"/>
        </w:rPr>
      </w:pPr>
      <w:r w:rsidRPr="00594320">
        <w:rPr>
          <w:rFonts w:asciiTheme="majorBidi" w:hAnsiTheme="majorBidi" w:cstheme="majorBidi"/>
          <w:sz w:val="28"/>
          <w:szCs w:val="28"/>
        </w:rPr>
        <w:t>conclu une convention de crédit auprès d’une banque résidente au Japon remboursable sur 5 ans, la première annuité  de 850.000D</w:t>
      </w:r>
      <w:r w:rsidR="00A93694" w:rsidRPr="00594320">
        <w:rPr>
          <w:rFonts w:asciiTheme="majorBidi" w:hAnsiTheme="majorBidi" w:cstheme="majorBidi"/>
          <w:sz w:val="28"/>
          <w:szCs w:val="28"/>
        </w:rPr>
        <w:t>,</w:t>
      </w:r>
      <w:r w:rsidRPr="00594320">
        <w:rPr>
          <w:rFonts w:asciiTheme="majorBidi" w:hAnsiTheme="majorBidi" w:cstheme="majorBidi"/>
          <w:sz w:val="28"/>
          <w:szCs w:val="28"/>
        </w:rPr>
        <w:t xml:space="preserve"> dont 35.200D représentent les intérêts échus,  a été versé</w:t>
      </w:r>
      <w:r w:rsidR="006E43C6" w:rsidRPr="00594320">
        <w:rPr>
          <w:rFonts w:asciiTheme="majorBidi" w:hAnsiTheme="majorBidi" w:cstheme="majorBidi"/>
          <w:sz w:val="28"/>
          <w:szCs w:val="28"/>
        </w:rPr>
        <w:t>e</w:t>
      </w:r>
      <w:r w:rsidRPr="00594320">
        <w:rPr>
          <w:rFonts w:asciiTheme="majorBidi" w:hAnsiTheme="majorBidi" w:cstheme="majorBidi"/>
          <w:sz w:val="28"/>
          <w:szCs w:val="28"/>
        </w:rPr>
        <w:t xml:space="preserve"> le </w:t>
      </w:r>
      <w:r w:rsidR="006753D6" w:rsidRPr="00594320">
        <w:rPr>
          <w:rFonts w:asciiTheme="majorBidi" w:hAnsiTheme="majorBidi" w:cstheme="majorBidi"/>
          <w:sz w:val="28"/>
          <w:szCs w:val="28"/>
        </w:rPr>
        <w:t>15</w:t>
      </w:r>
      <w:r w:rsidRPr="00594320">
        <w:rPr>
          <w:rFonts w:asciiTheme="majorBidi" w:hAnsiTheme="majorBidi" w:cstheme="majorBidi"/>
          <w:sz w:val="28"/>
          <w:szCs w:val="28"/>
        </w:rPr>
        <w:t xml:space="preserve"> décembre </w:t>
      </w:r>
      <w:r w:rsidR="006753D6" w:rsidRPr="00594320">
        <w:rPr>
          <w:rFonts w:asciiTheme="majorBidi" w:hAnsiTheme="majorBidi" w:cstheme="majorBidi"/>
          <w:sz w:val="28"/>
          <w:szCs w:val="28"/>
        </w:rPr>
        <w:t>2011</w:t>
      </w:r>
      <w:r w:rsidRPr="00594320">
        <w:rPr>
          <w:rFonts w:asciiTheme="majorBidi" w:hAnsiTheme="majorBidi" w:cstheme="majorBidi"/>
          <w:sz w:val="28"/>
          <w:szCs w:val="28"/>
        </w:rPr>
        <w:t>;</w:t>
      </w:r>
      <w:r w:rsidR="00A809C9" w:rsidRPr="00594320">
        <w:rPr>
          <w:rFonts w:asciiTheme="majorBidi" w:hAnsiTheme="majorBidi" w:cstheme="majorBidi"/>
          <w:sz w:val="28"/>
          <w:szCs w:val="28"/>
        </w:rPr>
        <w:t xml:space="preserve"> aucune retenue à la source n’a été effectuée par la société « Tunisie – Travaux » ;</w:t>
      </w:r>
    </w:p>
    <w:p w:rsidR="00134632" w:rsidRPr="00594320" w:rsidRDefault="00134632" w:rsidP="00134632">
      <w:pPr>
        <w:pStyle w:val="Paragraphedeliste"/>
        <w:ind w:left="900"/>
        <w:jc w:val="both"/>
        <w:rPr>
          <w:rFonts w:asciiTheme="majorBidi" w:hAnsiTheme="majorBidi" w:cstheme="majorBidi"/>
          <w:sz w:val="28"/>
          <w:szCs w:val="28"/>
        </w:rPr>
      </w:pPr>
    </w:p>
    <w:p w:rsidR="009F5C6B" w:rsidRPr="00594320" w:rsidRDefault="00A73993" w:rsidP="009B4E5B">
      <w:pPr>
        <w:pStyle w:val="Paragraphedeliste"/>
        <w:numPr>
          <w:ilvl w:val="0"/>
          <w:numId w:val="13"/>
        </w:numPr>
        <w:autoSpaceDE w:val="0"/>
        <w:autoSpaceDN w:val="0"/>
        <w:adjustRightInd w:val="0"/>
        <w:jc w:val="lowKashida"/>
        <w:rPr>
          <w:rFonts w:asciiTheme="majorBidi" w:hAnsiTheme="majorBidi" w:cstheme="majorBidi"/>
          <w:sz w:val="28"/>
          <w:szCs w:val="28"/>
        </w:rPr>
      </w:pPr>
      <w:r w:rsidRPr="00594320">
        <w:rPr>
          <w:rFonts w:asciiTheme="majorBidi" w:hAnsiTheme="majorBidi" w:cstheme="majorBidi"/>
          <w:sz w:val="28"/>
          <w:szCs w:val="28"/>
        </w:rPr>
        <w:t xml:space="preserve">sous traité une partie des études nécessaires au marché en question </w:t>
      </w:r>
      <w:r w:rsidR="009B4E5B" w:rsidRPr="00594320">
        <w:rPr>
          <w:rFonts w:asciiTheme="majorBidi" w:hAnsiTheme="majorBidi" w:cstheme="majorBidi"/>
          <w:sz w:val="28"/>
          <w:szCs w:val="28"/>
        </w:rPr>
        <w:t xml:space="preserve">à </w:t>
      </w:r>
      <w:r w:rsidRPr="00594320">
        <w:rPr>
          <w:rFonts w:asciiTheme="majorBidi" w:hAnsiTheme="majorBidi" w:cstheme="majorBidi"/>
          <w:sz w:val="28"/>
          <w:szCs w:val="28"/>
        </w:rPr>
        <w:t xml:space="preserve">une société résidente </w:t>
      </w:r>
      <w:r w:rsidR="009F5C6B" w:rsidRPr="00594320">
        <w:rPr>
          <w:rFonts w:asciiTheme="majorBidi" w:hAnsiTheme="majorBidi" w:cstheme="majorBidi"/>
          <w:sz w:val="28"/>
          <w:szCs w:val="28"/>
        </w:rPr>
        <w:t xml:space="preserve">en </w:t>
      </w:r>
      <w:r w:rsidR="003B7D11" w:rsidRPr="00594320">
        <w:rPr>
          <w:rFonts w:asciiTheme="majorBidi" w:hAnsiTheme="majorBidi" w:cstheme="majorBidi"/>
          <w:sz w:val="28"/>
          <w:szCs w:val="28"/>
        </w:rPr>
        <w:t>Afrique du Sud</w:t>
      </w:r>
      <w:r w:rsidR="009F5C6B" w:rsidRPr="00594320">
        <w:rPr>
          <w:rFonts w:asciiTheme="majorBidi" w:hAnsiTheme="majorBidi" w:cstheme="majorBidi"/>
          <w:sz w:val="28"/>
          <w:szCs w:val="28"/>
        </w:rPr>
        <w:t xml:space="preserve"> pour un montant brut de 250.000D</w:t>
      </w:r>
      <w:r w:rsidR="003B7D11" w:rsidRPr="00594320">
        <w:rPr>
          <w:rFonts w:asciiTheme="majorBidi" w:hAnsiTheme="majorBidi" w:cstheme="majorBidi"/>
          <w:sz w:val="28"/>
          <w:szCs w:val="28"/>
        </w:rPr>
        <w:t xml:space="preserve"> ; cette dernière a, en outre, </w:t>
      </w:r>
      <w:r w:rsidR="00A50CF7" w:rsidRPr="00594320">
        <w:rPr>
          <w:rFonts w:asciiTheme="majorBidi" w:hAnsiTheme="majorBidi" w:cstheme="majorBidi"/>
          <w:sz w:val="28"/>
          <w:szCs w:val="28"/>
        </w:rPr>
        <w:t>réalisé pour</w:t>
      </w:r>
      <w:r w:rsidR="003B7D11" w:rsidRPr="00594320">
        <w:rPr>
          <w:rFonts w:asciiTheme="majorBidi" w:hAnsiTheme="majorBidi" w:cstheme="majorBidi"/>
          <w:sz w:val="28"/>
          <w:szCs w:val="28"/>
        </w:rPr>
        <w:t xml:space="preserve"> la société « Tunisie – Travaux » divers services à caractère technique et consultatif pour un montant total de 120.000D; </w:t>
      </w:r>
    </w:p>
    <w:p w:rsidR="009F5C6B" w:rsidRPr="00594320" w:rsidRDefault="009F5C6B" w:rsidP="009F5C6B">
      <w:pPr>
        <w:pStyle w:val="Paragraphedeliste"/>
        <w:autoSpaceDE w:val="0"/>
        <w:autoSpaceDN w:val="0"/>
        <w:adjustRightInd w:val="0"/>
        <w:ind w:left="900"/>
        <w:jc w:val="lowKashida"/>
        <w:rPr>
          <w:rFonts w:asciiTheme="majorBidi" w:hAnsiTheme="majorBidi" w:cstheme="majorBidi"/>
          <w:sz w:val="28"/>
          <w:szCs w:val="28"/>
        </w:rPr>
      </w:pPr>
    </w:p>
    <w:p w:rsidR="00A73993" w:rsidRPr="00594320" w:rsidRDefault="009F5C6B" w:rsidP="009B4E5B">
      <w:pPr>
        <w:pStyle w:val="Paragraphedeliste"/>
        <w:numPr>
          <w:ilvl w:val="0"/>
          <w:numId w:val="13"/>
        </w:numPr>
        <w:autoSpaceDE w:val="0"/>
        <w:autoSpaceDN w:val="0"/>
        <w:adjustRightInd w:val="0"/>
        <w:jc w:val="lowKashida"/>
        <w:rPr>
          <w:rFonts w:asciiTheme="majorBidi" w:hAnsiTheme="majorBidi" w:cstheme="majorBidi"/>
          <w:sz w:val="28"/>
          <w:szCs w:val="28"/>
        </w:rPr>
      </w:pPr>
      <w:r w:rsidRPr="00594320">
        <w:rPr>
          <w:rFonts w:asciiTheme="majorBidi" w:hAnsiTheme="majorBidi" w:cstheme="majorBidi"/>
          <w:sz w:val="28"/>
          <w:szCs w:val="28"/>
        </w:rPr>
        <w:lastRenderedPageBreak/>
        <w:t>loué un équip</w:t>
      </w:r>
      <w:r w:rsidR="003B7D11" w:rsidRPr="00594320">
        <w:rPr>
          <w:rFonts w:asciiTheme="majorBidi" w:hAnsiTheme="majorBidi" w:cstheme="majorBidi"/>
          <w:sz w:val="28"/>
          <w:szCs w:val="28"/>
        </w:rPr>
        <w:t>ement industriel pour une p</w:t>
      </w:r>
      <w:r w:rsidR="003B7D11" w:rsidRPr="00594320">
        <w:rPr>
          <w:rFonts w:asciiTheme="majorBidi" w:hAnsiTheme="majorBidi" w:cstheme="majorBidi"/>
          <w:sz w:val="28"/>
          <w:szCs w:val="28"/>
          <w:lang w:bidi="ar-TN"/>
        </w:rPr>
        <w:t>ériode de 2 mois auprès d’</w:t>
      </w:r>
      <w:r w:rsidR="00663809" w:rsidRPr="00594320">
        <w:rPr>
          <w:rFonts w:asciiTheme="majorBidi" w:hAnsiTheme="majorBidi" w:cstheme="majorBidi"/>
          <w:sz w:val="28"/>
          <w:szCs w:val="28"/>
          <w:lang w:bidi="ar-TN"/>
        </w:rPr>
        <w:t>une société résidente</w:t>
      </w:r>
      <w:r w:rsidR="003B7D11" w:rsidRPr="00594320">
        <w:rPr>
          <w:rFonts w:asciiTheme="majorBidi" w:hAnsiTheme="majorBidi" w:cstheme="majorBidi"/>
          <w:sz w:val="28"/>
          <w:szCs w:val="28"/>
          <w:lang w:bidi="ar-TN"/>
        </w:rPr>
        <w:t xml:space="preserve"> </w:t>
      </w:r>
      <w:r w:rsidR="00A809C9" w:rsidRPr="00594320">
        <w:rPr>
          <w:rFonts w:asciiTheme="majorBidi" w:hAnsiTheme="majorBidi" w:cstheme="majorBidi"/>
          <w:sz w:val="28"/>
          <w:szCs w:val="28"/>
          <w:lang w:bidi="ar-TN"/>
        </w:rPr>
        <w:t xml:space="preserve">en </w:t>
      </w:r>
      <w:r w:rsidR="009B4E5B" w:rsidRPr="00594320">
        <w:rPr>
          <w:rFonts w:asciiTheme="majorBidi" w:hAnsiTheme="majorBidi" w:cstheme="majorBidi"/>
          <w:sz w:val="28"/>
          <w:szCs w:val="28"/>
          <w:lang w:bidi="ar-TN"/>
        </w:rPr>
        <w:t>Afrique du Sud</w:t>
      </w:r>
      <w:r w:rsidR="00A809C9" w:rsidRPr="00594320">
        <w:rPr>
          <w:rFonts w:asciiTheme="majorBidi" w:hAnsiTheme="majorBidi" w:cstheme="majorBidi"/>
          <w:sz w:val="28"/>
          <w:szCs w:val="28"/>
          <w:lang w:bidi="ar-TN"/>
        </w:rPr>
        <w:t xml:space="preserve"> </w:t>
      </w:r>
      <w:r w:rsidR="003B7D11" w:rsidRPr="00594320">
        <w:rPr>
          <w:rFonts w:asciiTheme="majorBidi" w:hAnsiTheme="majorBidi" w:cstheme="majorBidi"/>
          <w:sz w:val="28"/>
          <w:szCs w:val="28"/>
          <w:lang w:bidi="ar-TN"/>
        </w:rPr>
        <w:t>pour un montant de 1.200.000D,</w:t>
      </w:r>
    </w:p>
    <w:p w:rsidR="00A73993" w:rsidRPr="00594320" w:rsidRDefault="00A73993" w:rsidP="00A73993">
      <w:pPr>
        <w:ind w:firstLine="540"/>
        <w:jc w:val="both"/>
        <w:rPr>
          <w:rFonts w:asciiTheme="majorBidi" w:hAnsiTheme="majorBidi" w:cstheme="majorBidi"/>
          <w:sz w:val="28"/>
          <w:szCs w:val="28"/>
        </w:rPr>
      </w:pPr>
    </w:p>
    <w:p w:rsidR="002B51FE" w:rsidRPr="00594320" w:rsidRDefault="00295EBD" w:rsidP="000B258D">
      <w:pPr>
        <w:autoSpaceDE w:val="0"/>
        <w:autoSpaceDN w:val="0"/>
        <w:adjustRightInd w:val="0"/>
        <w:ind w:firstLine="567"/>
        <w:jc w:val="lowKashida"/>
        <w:rPr>
          <w:rFonts w:asciiTheme="majorBidi" w:hAnsiTheme="majorBidi" w:cstheme="majorBidi"/>
          <w:sz w:val="28"/>
          <w:szCs w:val="28"/>
        </w:rPr>
      </w:pPr>
      <w:r w:rsidRPr="00594320">
        <w:rPr>
          <w:rFonts w:asciiTheme="majorBidi" w:hAnsiTheme="majorBidi" w:cstheme="majorBidi"/>
          <w:sz w:val="28"/>
          <w:szCs w:val="28"/>
        </w:rPr>
        <w:t>P</w:t>
      </w:r>
      <w:r w:rsidR="00054192" w:rsidRPr="00594320">
        <w:rPr>
          <w:rFonts w:asciiTheme="majorBidi" w:hAnsiTheme="majorBidi" w:cstheme="majorBidi"/>
          <w:sz w:val="28"/>
          <w:szCs w:val="28"/>
        </w:rPr>
        <w:t xml:space="preserve">ar ailleurs, </w:t>
      </w:r>
      <w:r w:rsidR="00696368" w:rsidRPr="00594320">
        <w:rPr>
          <w:rFonts w:asciiTheme="majorBidi" w:hAnsiTheme="majorBidi" w:cstheme="majorBidi"/>
          <w:sz w:val="28"/>
          <w:szCs w:val="28"/>
        </w:rPr>
        <w:t xml:space="preserve">et pour le besoin de réalisation du marché en question, </w:t>
      </w:r>
      <w:r w:rsidR="002B51FE" w:rsidRPr="00594320">
        <w:rPr>
          <w:rFonts w:asciiTheme="majorBidi" w:hAnsiTheme="majorBidi" w:cstheme="majorBidi"/>
          <w:sz w:val="28"/>
          <w:szCs w:val="28"/>
        </w:rPr>
        <w:t xml:space="preserve">la société </w:t>
      </w:r>
      <w:r w:rsidR="0007038A" w:rsidRPr="00594320">
        <w:rPr>
          <w:rFonts w:asciiTheme="majorBidi" w:hAnsiTheme="majorBidi" w:cstheme="majorBidi"/>
          <w:sz w:val="28"/>
          <w:szCs w:val="28"/>
        </w:rPr>
        <w:t xml:space="preserve">résidente </w:t>
      </w:r>
      <w:r w:rsidR="009B4E5B" w:rsidRPr="00594320">
        <w:rPr>
          <w:rFonts w:asciiTheme="majorBidi" w:hAnsiTheme="majorBidi" w:cstheme="majorBidi"/>
          <w:sz w:val="28"/>
          <w:szCs w:val="28"/>
          <w:lang w:bidi="ar-TN"/>
        </w:rPr>
        <w:t>Afrique du Sud</w:t>
      </w:r>
      <w:r w:rsidR="0007038A" w:rsidRPr="00594320">
        <w:rPr>
          <w:rFonts w:asciiTheme="majorBidi" w:hAnsiTheme="majorBidi" w:cstheme="majorBidi"/>
          <w:sz w:val="28"/>
          <w:szCs w:val="28"/>
        </w:rPr>
        <w:t xml:space="preserve"> a détaché</w:t>
      </w:r>
      <w:r w:rsidR="002B51FE" w:rsidRPr="00594320">
        <w:rPr>
          <w:rFonts w:asciiTheme="majorBidi" w:hAnsiTheme="majorBidi" w:cstheme="majorBidi"/>
          <w:sz w:val="28"/>
          <w:szCs w:val="28"/>
        </w:rPr>
        <w:t xml:space="preserve"> un de ses ingénieurs pour une période de quatre mois. </w:t>
      </w:r>
      <w:r w:rsidR="00E81EA6" w:rsidRPr="00594320">
        <w:rPr>
          <w:rFonts w:asciiTheme="majorBidi" w:hAnsiTheme="majorBidi" w:cstheme="majorBidi"/>
          <w:sz w:val="28"/>
          <w:szCs w:val="28"/>
        </w:rPr>
        <w:t xml:space="preserve">Son </w:t>
      </w:r>
      <w:r w:rsidR="002B51FE" w:rsidRPr="00594320">
        <w:rPr>
          <w:rFonts w:asciiTheme="majorBidi" w:hAnsiTheme="majorBidi" w:cstheme="majorBidi"/>
          <w:sz w:val="28"/>
          <w:szCs w:val="28"/>
        </w:rPr>
        <w:t>salaire annuel net de</w:t>
      </w:r>
      <w:r w:rsidR="00E65267" w:rsidRPr="00594320">
        <w:rPr>
          <w:rFonts w:asciiTheme="majorBidi" w:hAnsiTheme="majorBidi" w:cstheme="majorBidi"/>
          <w:sz w:val="28"/>
          <w:szCs w:val="28"/>
        </w:rPr>
        <w:t>s</w:t>
      </w:r>
      <w:r w:rsidR="002B51FE" w:rsidRPr="00594320">
        <w:rPr>
          <w:rFonts w:asciiTheme="majorBidi" w:hAnsiTheme="majorBidi" w:cstheme="majorBidi"/>
          <w:sz w:val="28"/>
          <w:szCs w:val="28"/>
        </w:rPr>
        <w:t xml:space="preserve"> cotisations sociales est de </w:t>
      </w:r>
      <w:r w:rsidR="000B258D" w:rsidRPr="00594320">
        <w:rPr>
          <w:rFonts w:asciiTheme="majorBidi" w:hAnsiTheme="majorBidi" w:cstheme="majorBidi"/>
          <w:sz w:val="28"/>
          <w:szCs w:val="28"/>
        </w:rPr>
        <w:t>4</w:t>
      </w:r>
      <w:r w:rsidR="00696368" w:rsidRPr="00594320">
        <w:rPr>
          <w:rFonts w:asciiTheme="majorBidi" w:hAnsiTheme="majorBidi" w:cstheme="majorBidi"/>
          <w:sz w:val="28"/>
          <w:szCs w:val="28"/>
        </w:rPr>
        <w:t>8</w:t>
      </w:r>
      <w:r w:rsidR="002B51FE" w:rsidRPr="00594320">
        <w:rPr>
          <w:rFonts w:asciiTheme="majorBidi" w:hAnsiTheme="majorBidi" w:cstheme="majorBidi"/>
          <w:sz w:val="28"/>
          <w:szCs w:val="28"/>
        </w:rPr>
        <w:t>.000D</w:t>
      </w:r>
      <w:r w:rsidR="00A73993" w:rsidRPr="00594320">
        <w:rPr>
          <w:rFonts w:asciiTheme="majorBidi" w:hAnsiTheme="majorBidi" w:cstheme="majorBidi"/>
          <w:sz w:val="28"/>
          <w:szCs w:val="28"/>
        </w:rPr>
        <w:t>,</w:t>
      </w:r>
    </w:p>
    <w:p w:rsidR="002B51FE" w:rsidRPr="00594320" w:rsidRDefault="002B51FE">
      <w:pPr>
        <w:ind w:firstLine="540"/>
        <w:jc w:val="both"/>
        <w:rPr>
          <w:rFonts w:asciiTheme="majorBidi" w:hAnsiTheme="majorBidi" w:cstheme="majorBidi"/>
          <w:sz w:val="28"/>
          <w:szCs w:val="28"/>
        </w:rPr>
      </w:pPr>
    </w:p>
    <w:p w:rsidR="00054192" w:rsidRPr="00594320" w:rsidRDefault="00CF525E" w:rsidP="005279E5">
      <w:pPr>
        <w:ind w:firstLine="540"/>
        <w:jc w:val="both"/>
        <w:rPr>
          <w:rFonts w:asciiTheme="majorBidi" w:hAnsiTheme="majorBidi" w:cstheme="majorBidi"/>
          <w:sz w:val="28"/>
          <w:szCs w:val="28"/>
        </w:rPr>
      </w:pPr>
      <w:r w:rsidRPr="00594320">
        <w:rPr>
          <w:rFonts w:asciiTheme="majorBidi" w:hAnsiTheme="majorBidi" w:cstheme="majorBidi"/>
          <w:b/>
          <w:bCs/>
          <w:sz w:val="28"/>
          <w:szCs w:val="28"/>
        </w:rPr>
        <w:t>Travail à faire :</w:t>
      </w:r>
      <w:r w:rsidR="00D6442F" w:rsidRPr="00594320">
        <w:rPr>
          <w:rFonts w:asciiTheme="majorBidi" w:hAnsiTheme="majorBidi" w:cstheme="majorBidi"/>
          <w:b/>
          <w:bCs/>
          <w:sz w:val="28"/>
          <w:szCs w:val="28"/>
        </w:rPr>
        <w:t xml:space="preserve"> </w:t>
      </w:r>
      <w:r w:rsidRPr="00594320">
        <w:rPr>
          <w:rFonts w:asciiTheme="majorBidi" w:hAnsiTheme="majorBidi" w:cstheme="majorBidi"/>
          <w:sz w:val="28"/>
          <w:szCs w:val="28"/>
        </w:rPr>
        <w:t>Déterminez</w:t>
      </w:r>
      <w:r w:rsidR="00054192" w:rsidRPr="00594320">
        <w:rPr>
          <w:rFonts w:asciiTheme="majorBidi" w:hAnsiTheme="majorBidi" w:cstheme="majorBidi"/>
          <w:sz w:val="28"/>
          <w:szCs w:val="28"/>
        </w:rPr>
        <w:t> :</w:t>
      </w:r>
    </w:p>
    <w:p w:rsidR="00054192" w:rsidRPr="00594320" w:rsidRDefault="00054192" w:rsidP="00054192">
      <w:pPr>
        <w:ind w:left="1260"/>
        <w:jc w:val="both"/>
        <w:rPr>
          <w:rFonts w:asciiTheme="majorBidi" w:hAnsiTheme="majorBidi" w:cstheme="majorBidi"/>
          <w:sz w:val="28"/>
          <w:szCs w:val="28"/>
        </w:rPr>
      </w:pPr>
    </w:p>
    <w:p w:rsidR="00CF525E" w:rsidRPr="00594320" w:rsidRDefault="00CF525E" w:rsidP="009B4E5B">
      <w:pPr>
        <w:numPr>
          <w:ilvl w:val="0"/>
          <w:numId w:val="24"/>
        </w:numPr>
        <w:jc w:val="both"/>
        <w:rPr>
          <w:rFonts w:asciiTheme="majorBidi" w:hAnsiTheme="majorBidi" w:cstheme="majorBidi"/>
          <w:sz w:val="28"/>
          <w:szCs w:val="28"/>
        </w:rPr>
      </w:pPr>
      <w:r w:rsidRPr="00594320">
        <w:rPr>
          <w:rFonts w:asciiTheme="majorBidi" w:hAnsiTheme="majorBidi" w:cstheme="majorBidi"/>
          <w:sz w:val="28"/>
          <w:szCs w:val="28"/>
        </w:rPr>
        <w:t>le régime fiscal et les obligations fiscales du groupement et de ses différents membres</w:t>
      </w:r>
      <w:r w:rsidR="009B4E5B" w:rsidRPr="00594320">
        <w:rPr>
          <w:rFonts w:asciiTheme="majorBidi" w:hAnsiTheme="majorBidi" w:cstheme="majorBidi"/>
          <w:sz w:val="28"/>
          <w:szCs w:val="28"/>
        </w:rPr>
        <w:t xml:space="preserve"> avec les deux hypothèses suivantes :</w:t>
      </w:r>
    </w:p>
    <w:p w:rsidR="009B4E5B" w:rsidRPr="00594320" w:rsidRDefault="009B4E5B" w:rsidP="009B4E5B">
      <w:pPr>
        <w:ind w:left="1260"/>
        <w:jc w:val="both"/>
        <w:rPr>
          <w:rFonts w:asciiTheme="majorBidi" w:hAnsiTheme="majorBidi" w:cstheme="majorBidi"/>
          <w:sz w:val="28"/>
          <w:szCs w:val="28"/>
        </w:rPr>
      </w:pPr>
      <w:r w:rsidRPr="00594320">
        <w:rPr>
          <w:rFonts w:asciiTheme="majorBidi" w:hAnsiTheme="majorBidi" w:cstheme="majorBidi"/>
          <w:b/>
          <w:bCs/>
          <w:sz w:val="28"/>
          <w:szCs w:val="28"/>
        </w:rPr>
        <w:t>H1 :</w:t>
      </w:r>
      <w:r w:rsidRPr="00594320">
        <w:rPr>
          <w:rFonts w:asciiTheme="majorBidi" w:hAnsiTheme="majorBidi" w:cstheme="majorBidi"/>
          <w:sz w:val="28"/>
          <w:szCs w:val="28"/>
        </w:rPr>
        <w:t xml:space="preserve"> chaque membre du groupement facture sa quote-part dans la réalisation du marché directement au maître de l’ouvrage,  mais ils sont tous responsables </w:t>
      </w:r>
      <w:r w:rsidR="0087467C" w:rsidRPr="00594320">
        <w:rPr>
          <w:rFonts w:asciiTheme="majorBidi" w:hAnsiTheme="majorBidi" w:cstheme="majorBidi"/>
          <w:sz w:val="28"/>
          <w:szCs w:val="28"/>
        </w:rPr>
        <w:t xml:space="preserve">et solidaires </w:t>
      </w:r>
      <w:r w:rsidRPr="00594320">
        <w:rPr>
          <w:rFonts w:asciiTheme="majorBidi" w:hAnsiTheme="majorBidi" w:cstheme="majorBidi"/>
          <w:sz w:val="28"/>
          <w:szCs w:val="28"/>
        </w:rPr>
        <w:t>de l’exécution du marché en question.</w:t>
      </w:r>
    </w:p>
    <w:p w:rsidR="009B4E5B" w:rsidRPr="00594320" w:rsidRDefault="009B4E5B" w:rsidP="009B4E5B">
      <w:pPr>
        <w:ind w:left="1260"/>
        <w:jc w:val="both"/>
        <w:rPr>
          <w:rFonts w:asciiTheme="majorBidi" w:hAnsiTheme="majorBidi" w:cstheme="majorBidi"/>
          <w:sz w:val="28"/>
          <w:szCs w:val="28"/>
        </w:rPr>
      </w:pPr>
    </w:p>
    <w:p w:rsidR="009B4E5B" w:rsidRPr="00594320" w:rsidRDefault="009B4E5B" w:rsidP="00780769">
      <w:pPr>
        <w:ind w:left="1260"/>
        <w:jc w:val="both"/>
        <w:rPr>
          <w:rFonts w:asciiTheme="majorBidi" w:hAnsiTheme="majorBidi" w:cstheme="majorBidi"/>
          <w:sz w:val="28"/>
          <w:szCs w:val="28"/>
        </w:rPr>
      </w:pPr>
      <w:r w:rsidRPr="00594320">
        <w:rPr>
          <w:rFonts w:asciiTheme="majorBidi" w:hAnsiTheme="majorBidi" w:cstheme="majorBidi"/>
          <w:b/>
          <w:bCs/>
          <w:sz w:val="28"/>
          <w:szCs w:val="28"/>
        </w:rPr>
        <w:t>H2 :</w:t>
      </w:r>
      <w:r w:rsidRPr="00594320">
        <w:rPr>
          <w:rFonts w:asciiTheme="majorBidi" w:hAnsiTheme="majorBidi" w:cstheme="majorBidi"/>
          <w:sz w:val="28"/>
          <w:szCs w:val="28"/>
        </w:rPr>
        <w:t xml:space="preserve"> </w:t>
      </w:r>
      <w:r w:rsidR="00780769" w:rsidRPr="00594320">
        <w:rPr>
          <w:rFonts w:asciiTheme="majorBidi" w:hAnsiTheme="majorBidi" w:cstheme="majorBidi"/>
          <w:sz w:val="28"/>
          <w:szCs w:val="28"/>
        </w:rPr>
        <w:t>les membres f</w:t>
      </w:r>
      <w:r w:rsidRPr="00594320">
        <w:rPr>
          <w:rFonts w:asciiTheme="majorBidi" w:hAnsiTheme="majorBidi" w:cstheme="majorBidi"/>
          <w:sz w:val="28"/>
          <w:szCs w:val="28"/>
        </w:rPr>
        <w:t>actur</w:t>
      </w:r>
      <w:r w:rsidR="00780769" w:rsidRPr="00594320">
        <w:rPr>
          <w:rFonts w:asciiTheme="majorBidi" w:hAnsiTheme="majorBidi" w:cstheme="majorBidi"/>
          <w:sz w:val="28"/>
          <w:szCs w:val="28"/>
        </w:rPr>
        <w:t>en</w:t>
      </w:r>
      <w:r w:rsidRPr="00594320">
        <w:rPr>
          <w:rFonts w:asciiTheme="majorBidi" w:hAnsiTheme="majorBidi" w:cstheme="majorBidi"/>
          <w:sz w:val="28"/>
          <w:szCs w:val="28"/>
        </w:rPr>
        <w:t>t</w:t>
      </w:r>
      <w:r w:rsidR="00780769" w:rsidRPr="00594320">
        <w:rPr>
          <w:rFonts w:asciiTheme="majorBidi" w:hAnsiTheme="majorBidi" w:cstheme="majorBidi"/>
          <w:sz w:val="28"/>
          <w:szCs w:val="28"/>
        </w:rPr>
        <w:t xml:space="preserve"> </w:t>
      </w:r>
      <w:r w:rsidRPr="00594320">
        <w:rPr>
          <w:rFonts w:asciiTheme="majorBidi" w:hAnsiTheme="majorBidi" w:cstheme="majorBidi"/>
          <w:sz w:val="28"/>
          <w:szCs w:val="28"/>
        </w:rPr>
        <w:t>au groupement et le groupement refacture au</w:t>
      </w:r>
      <w:r w:rsidR="00780769" w:rsidRPr="00594320">
        <w:rPr>
          <w:rFonts w:asciiTheme="majorBidi" w:hAnsiTheme="majorBidi" w:cstheme="majorBidi"/>
          <w:sz w:val="28"/>
          <w:szCs w:val="28"/>
        </w:rPr>
        <w:t xml:space="preserve"> maître de l’ouvrage </w:t>
      </w:r>
      <w:r w:rsidRPr="00594320">
        <w:rPr>
          <w:rFonts w:asciiTheme="majorBidi" w:hAnsiTheme="majorBidi" w:cstheme="majorBidi"/>
          <w:sz w:val="28"/>
          <w:szCs w:val="28"/>
        </w:rPr>
        <w:t xml:space="preserve">membres mais </w:t>
      </w:r>
      <w:r w:rsidR="00780769" w:rsidRPr="00594320">
        <w:rPr>
          <w:rFonts w:asciiTheme="majorBidi" w:hAnsiTheme="majorBidi" w:cstheme="majorBidi"/>
          <w:sz w:val="28"/>
          <w:szCs w:val="28"/>
        </w:rPr>
        <w:t xml:space="preserve">sont </w:t>
      </w:r>
      <w:r w:rsidRPr="00594320">
        <w:rPr>
          <w:rFonts w:asciiTheme="majorBidi" w:hAnsiTheme="majorBidi" w:cstheme="majorBidi"/>
          <w:sz w:val="28"/>
          <w:szCs w:val="28"/>
        </w:rPr>
        <w:t xml:space="preserve">tous responsables </w:t>
      </w:r>
      <w:r w:rsidR="00780769" w:rsidRPr="00594320">
        <w:rPr>
          <w:rFonts w:asciiTheme="majorBidi" w:hAnsiTheme="majorBidi" w:cstheme="majorBidi"/>
          <w:sz w:val="28"/>
          <w:szCs w:val="28"/>
        </w:rPr>
        <w:t xml:space="preserve">et solidaires </w:t>
      </w:r>
      <w:r w:rsidRPr="00594320">
        <w:rPr>
          <w:rFonts w:asciiTheme="majorBidi" w:hAnsiTheme="majorBidi" w:cstheme="majorBidi"/>
          <w:sz w:val="28"/>
          <w:szCs w:val="28"/>
        </w:rPr>
        <w:t>de l’exécution du marché en question.</w:t>
      </w:r>
    </w:p>
    <w:p w:rsidR="009B4E5B" w:rsidRPr="00594320" w:rsidRDefault="009B4E5B" w:rsidP="009B4E5B">
      <w:pPr>
        <w:ind w:left="1260"/>
        <w:jc w:val="both"/>
        <w:rPr>
          <w:rFonts w:asciiTheme="majorBidi" w:hAnsiTheme="majorBidi" w:cstheme="majorBidi"/>
          <w:sz w:val="28"/>
          <w:szCs w:val="28"/>
        </w:rPr>
      </w:pPr>
    </w:p>
    <w:p w:rsidR="00CF525E" w:rsidRPr="00594320" w:rsidRDefault="00054192" w:rsidP="00295EBD">
      <w:pPr>
        <w:numPr>
          <w:ilvl w:val="0"/>
          <w:numId w:val="24"/>
        </w:numPr>
        <w:jc w:val="both"/>
        <w:rPr>
          <w:rFonts w:asciiTheme="majorBidi" w:hAnsiTheme="majorBidi" w:cstheme="majorBidi"/>
          <w:sz w:val="28"/>
          <w:szCs w:val="28"/>
        </w:rPr>
      </w:pPr>
      <w:r w:rsidRPr="00594320">
        <w:rPr>
          <w:rFonts w:asciiTheme="majorBidi" w:hAnsiTheme="majorBidi" w:cstheme="majorBidi"/>
          <w:sz w:val="28"/>
          <w:szCs w:val="28"/>
        </w:rPr>
        <w:t xml:space="preserve">le régime fiscal des différentes opérations réalisées </w:t>
      </w:r>
      <w:r w:rsidR="00295EBD" w:rsidRPr="00594320">
        <w:rPr>
          <w:rFonts w:asciiTheme="majorBidi" w:hAnsiTheme="majorBidi" w:cstheme="majorBidi"/>
          <w:sz w:val="28"/>
          <w:szCs w:val="28"/>
        </w:rPr>
        <w:t xml:space="preserve">par la société « Tunisie – Travaux » </w:t>
      </w:r>
      <w:r w:rsidRPr="00594320">
        <w:rPr>
          <w:rFonts w:asciiTheme="majorBidi" w:hAnsiTheme="majorBidi" w:cstheme="majorBidi"/>
          <w:sz w:val="28"/>
          <w:szCs w:val="28"/>
        </w:rPr>
        <w:t>dans le cadre de l’exécution du marché en question,</w:t>
      </w:r>
    </w:p>
    <w:p w:rsidR="004E258D" w:rsidRPr="00594320" w:rsidRDefault="00054192" w:rsidP="00F176AC">
      <w:pPr>
        <w:numPr>
          <w:ilvl w:val="0"/>
          <w:numId w:val="24"/>
        </w:numPr>
        <w:jc w:val="both"/>
        <w:rPr>
          <w:rFonts w:asciiTheme="majorBidi" w:hAnsiTheme="majorBidi" w:cstheme="majorBidi"/>
          <w:sz w:val="28"/>
          <w:szCs w:val="28"/>
        </w:rPr>
      </w:pPr>
      <w:r w:rsidRPr="00594320">
        <w:rPr>
          <w:rFonts w:asciiTheme="majorBidi" w:hAnsiTheme="majorBidi" w:cstheme="majorBidi"/>
          <w:sz w:val="28"/>
          <w:szCs w:val="28"/>
        </w:rPr>
        <w:t xml:space="preserve">le régime fiscal de l’ingénieur détaché par la société </w:t>
      </w:r>
      <w:r w:rsidR="004E258D" w:rsidRPr="00594320">
        <w:rPr>
          <w:rFonts w:asciiTheme="majorBidi" w:hAnsiTheme="majorBidi" w:cstheme="majorBidi"/>
          <w:sz w:val="28"/>
          <w:szCs w:val="28"/>
        </w:rPr>
        <w:t xml:space="preserve">résidente en Afrique du Sud </w:t>
      </w:r>
      <w:r w:rsidRPr="00594320">
        <w:rPr>
          <w:rFonts w:asciiTheme="majorBidi" w:hAnsiTheme="majorBidi" w:cstheme="majorBidi"/>
          <w:sz w:val="28"/>
          <w:szCs w:val="28"/>
        </w:rPr>
        <w:t>pour travailler en Tunisie.</w:t>
      </w:r>
    </w:p>
    <w:p w:rsidR="00054192" w:rsidRPr="00594320" w:rsidRDefault="00054192" w:rsidP="004E258D">
      <w:pPr>
        <w:ind w:left="1260"/>
        <w:jc w:val="both"/>
        <w:rPr>
          <w:rFonts w:asciiTheme="majorBidi" w:hAnsiTheme="majorBidi" w:cstheme="majorBidi"/>
          <w:sz w:val="28"/>
          <w:szCs w:val="28"/>
        </w:rPr>
      </w:pPr>
      <w:r w:rsidRPr="00594320">
        <w:rPr>
          <w:rFonts w:asciiTheme="majorBidi" w:hAnsiTheme="majorBidi" w:cstheme="majorBidi"/>
          <w:sz w:val="28"/>
          <w:szCs w:val="28"/>
        </w:rPr>
        <w:t xml:space="preserve"> </w:t>
      </w:r>
    </w:p>
    <w:p w:rsidR="00A715D9" w:rsidRDefault="00A715D9" w:rsidP="006172D8">
      <w:pPr>
        <w:spacing w:before="240"/>
        <w:jc w:val="center"/>
        <w:rPr>
          <w:rFonts w:asciiTheme="majorBidi" w:hAnsiTheme="majorBidi" w:cstheme="majorBidi"/>
          <w:b/>
          <w:sz w:val="28"/>
          <w:szCs w:val="28"/>
          <w:rtl/>
        </w:rPr>
      </w:pPr>
    </w:p>
    <w:p w:rsidR="00A715D9" w:rsidRDefault="00A715D9" w:rsidP="006172D8">
      <w:pPr>
        <w:spacing w:before="240"/>
        <w:jc w:val="center"/>
        <w:rPr>
          <w:rFonts w:asciiTheme="majorBidi" w:hAnsiTheme="majorBidi" w:cstheme="majorBidi"/>
          <w:b/>
          <w:sz w:val="28"/>
          <w:szCs w:val="28"/>
          <w:rtl/>
        </w:rPr>
      </w:pPr>
    </w:p>
    <w:p w:rsidR="00A715D9" w:rsidRDefault="00A715D9" w:rsidP="006172D8">
      <w:pPr>
        <w:spacing w:before="240"/>
        <w:jc w:val="center"/>
        <w:rPr>
          <w:rFonts w:asciiTheme="majorBidi" w:hAnsiTheme="majorBidi" w:cstheme="majorBidi"/>
          <w:b/>
          <w:sz w:val="28"/>
          <w:szCs w:val="28"/>
          <w:rtl/>
        </w:rPr>
      </w:pPr>
    </w:p>
    <w:p w:rsidR="00A715D9" w:rsidRDefault="00A715D9" w:rsidP="006172D8">
      <w:pPr>
        <w:spacing w:before="240"/>
        <w:jc w:val="center"/>
        <w:rPr>
          <w:rFonts w:asciiTheme="majorBidi" w:hAnsiTheme="majorBidi" w:cstheme="majorBidi"/>
          <w:b/>
          <w:sz w:val="28"/>
          <w:szCs w:val="28"/>
          <w:rtl/>
        </w:rPr>
      </w:pPr>
    </w:p>
    <w:p w:rsidR="00A715D9" w:rsidRDefault="00A715D9" w:rsidP="006172D8">
      <w:pPr>
        <w:spacing w:before="240"/>
        <w:jc w:val="center"/>
        <w:rPr>
          <w:rFonts w:asciiTheme="majorBidi" w:hAnsiTheme="majorBidi" w:cstheme="majorBidi"/>
          <w:b/>
          <w:sz w:val="28"/>
          <w:szCs w:val="28"/>
          <w:rtl/>
        </w:rPr>
      </w:pPr>
    </w:p>
    <w:p w:rsidR="00A715D9" w:rsidRDefault="00A715D9" w:rsidP="006172D8">
      <w:pPr>
        <w:spacing w:before="240"/>
        <w:jc w:val="center"/>
        <w:rPr>
          <w:rFonts w:asciiTheme="majorBidi" w:hAnsiTheme="majorBidi" w:cstheme="majorBidi"/>
          <w:b/>
          <w:sz w:val="28"/>
          <w:szCs w:val="28"/>
          <w:rtl/>
        </w:rPr>
      </w:pPr>
    </w:p>
    <w:p w:rsidR="00A715D9" w:rsidRDefault="00A715D9" w:rsidP="006172D8">
      <w:pPr>
        <w:spacing w:before="240"/>
        <w:jc w:val="center"/>
        <w:rPr>
          <w:rFonts w:asciiTheme="majorBidi" w:hAnsiTheme="majorBidi" w:cstheme="majorBidi"/>
          <w:b/>
          <w:sz w:val="28"/>
          <w:szCs w:val="28"/>
          <w:rtl/>
        </w:rPr>
      </w:pPr>
    </w:p>
    <w:p w:rsidR="00A715D9" w:rsidRDefault="00A715D9" w:rsidP="006172D8">
      <w:pPr>
        <w:spacing w:before="240"/>
        <w:jc w:val="center"/>
        <w:rPr>
          <w:rFonts w:asciiTheme="majorBidi" w:hAnsiTheme="majorBidi" w:cstheme="majorBidi"/>
          <w:b/>
          <w:sz w:val="28"/>
          <w:szCs w:val="28"/>
          <w:rtl/>
        </w:rPr>
      </w:pPr>
    </w:p>
    <w:p w:rsidR="00A715D9" w:rsidRDefault="00A715D9" w:rsidP="006172D8">
      <w:pPr>
        <w:spacing w:before="240"/>
        <w:jc w:val="center"/>
        <w:rPr>
          <w:rFonts w:asciiTheme="majorBidi" w:hAnsiTheme="majorBidi" w:cstheme="majorBidi"/>
          <w:b/>
          <w:sz w:val="28"/>
          <w:szCs w:val="28"/>
          <w:rtl/>
        </w:rPr>
      </w:pPr>
    </w:p>
    <w:p w:rsidR="006172D8" w:rsidRPr="00A715D9" w:rsidRDefault="006172D8" w:rsidP="006172D8">
      <w:pPr>
        <w:spacing w:before="240"/>
        <w:jc w:val="center"/>
        <w:rPr>
          <w:rFonts w:asciiTheme="majorBidi" w:hAnsiTheme="majorBidi" w:cstheme="majorBidi"/>
          <w:b/>
          <w:sz w:val="20"/>
          <w:szCs w:val="20"/>
        </w:rPr>
      </w:pPr>
      <w:r w:rsidRPr="00A715D9">
        <w:rPr>
          <w:rFonts w:asciiTheme="majorBidi" w:hAnsiTheme="majorBidi" w:cstheme="majorBidi"/>
          <w:b/>
          <w:sz w:val="20"/>
          <w:szCs w:val="20"/>
        </w:rPr>
        <w:lastRenderedPageBreak/>
        <w:t xml:space="preserve">Annexe </w:t>
      </w:r>
    </w:p>
    <w:p w:rsidR="006172D8" w:rsidRPr="00A715D9" w:rsidRDefault="007C520F" w:rsidP="006172D8">
      <w:pPr>
        <w:spacing w:before="240"/>
        <w:jc w:val="center"/>
        <w:rPr>
          <w:rFonts w:asciiTheme="majorBidi" w:hAnsiTheme="majorBidi" w:cstheme="majorBidi"/>
          <w:b/>
          <w:sz w:val="20"/>
          <w:szCs w:val="20"/>
        </w:rPr>
      </w:pPr>
      <w:r w:rsidRPr="00A715D9">
        <w:rPr>
          <w:rFonts w:asciiTheme="majorBidi" w:hAnsiTheme="majorBidi" w:cstheme="majorBidi"/>
          <w:b/>
          <w:sz w:val="20"/>
          <w:szCs w:val="20"/>
        </w:rPr>
        <w:t xml:space="preserve">Extrait de la </w:t>
      </w:r>
      <w:r w:rsidR="006172D8" w:rsidRPr="00A715D9">
        <w:rPr>
          <w:rFonts w:asciiTheme="majorBidi" w:hAnsiTheme="majorBidi" w:cstheme="majorBidi"/>
          <w:b/>
          <w:sz w:val="20"/>
          <w:szCs w:val="20"/>
        </w:rPr>
        <w:t xml:space="preserve">Convention de non double imposition Tunisie-Afrique du Sud </w:t>
      </w:r>
    </w:p>
    <w:p w:rsidR="006172D8" w:rsidRPr="00A715D9" w:rsidRDefault="006172D8" w:rsidP="006172D8">
      <w:pPr>
        <w:spacing w:before="240"/>
        <w:jc w:val="center"/>
        <w:rPr>
          <w:rFonts w:asciiTheme="majorBidi" w:hAnsiTheme="majorBidi" w:cstheme="majorBidi"/>
          <w:b/>
          <w:sz w:val="20"/>
          <w:szCs w:val="20"/>
        </w:rPr>
      </w:pPr>
    </w:p>
    <w:p w:rsidR="006172D8" w:rsidRPr="00A715D9" w:rsidRDefault="006172D8" w:rsidP="006172D8">
      <w:pPr>
        <w:ind w:firstLine="567"/>
        <w:jc w:val="both"/>
        <w:rPr>
          <w:rFonts w:asciiTheme="majorBidi" w:hAnsiTheme="majorBidi" w:cstheme="majorBidi"/>
          <w:b/>
          <w:bCs/>
          <w:sz w:val="20"/>
          <w:szCs w:val="20"/>
        </w:rPr>
      </w:pPr>
      <w:r w:rsidRPr="00A715D9">
        <w:rPr>
          <w:rFonts w:asciiTheme="majorBidi" w:hAnsiTheme="majorBidi" w:cstheme="majorBidi"/>
          <w:b/>
          <w:bCs/>
          <w:sz w:val="20"/>
          <w:szCs w:val="20"/>
        </w:rPr>
        <w:t>Article 12 : Redevances</w:t>
      </w:r>
    </w:p>
    <w:p w:rsidR="006172D8" w:rsidRPr="00A715D9" w:rsidRDefault="006172D8" w:rsidP="006172D8">
      <w:pPr>
        <w:ind w:firstLine="567"/>
        <w:jc w:val="both"/>
        <w:rPr>
          <w:rFonts w:asciiTheme="majorBidi" w:hAnsiTheme="majorBidi" w:cstheme="majorBidi"/>
          <w:sz w:val="20"/>
          <w:szCs w:val="20"/>
        </w:rPr>
      </w:pPr>
    </w:p>
    <w:p w:rsidR="006172D8" w:rsidRPr="00A715D9" w:rsidRDefault="006172D8" w:rsidP="006172D8">
      <w:pPr>
        <w:ind w:firstLine="567"/>
        <w:jc w:val="both"/>
        <w:rPr>
          <w:rFonts w:asciiTheme="majorBidi" w:hAnsiTheme="majorBidi" w:cstheme="majorBidi"/>
          <w:sz w:val="20"/>
          <w:szCs w:val="20"/>
        </w:rPr>
      </w:pPr>
      <w:r w:rsidRPr="00A715D9">
        <w:rPr>
          <w:rFonts w:asciiTheme="majorBidi" w:hAnsiTheme="majorBidi" w:cstheme="majorBidi"/>
          <w:sz w:val="20"/>
          <w:szCs w:val="20"/>
        </w:rPr>
        <w:t>1) Les redevances provenant d'un Etat contractant et payées à un résident de l'autre Etat contractant sont imposables dans cet autre Etat.</w:t>
      </w:r>
    </w:p>
    <w:p w:rsidR="00A72886" w:rsidRPr="00A715D9" w:rsidRDefault="00A72886" w:rsidP="006172D8">
      <w:pPr>
        <w:ind w:firstLine="567"/>
        <w:jc w:val="both"/>
        <w:rPr>
          <w:rFonts w:asciiTheme="majorBidi" w:hAnsiTheme="majorBidi" w:cstheme="majorBidi"/>
          <w:sz w:val="20"/>
          <w:szCs w:val="20"/>
        </w:rPr>
      </w:pPr>
    </w:p>
    <w:p w:rsidR="006172D8" w:rsidRPr="00A715D9" w:rsidRDefault="006172D8" w:rsidP="006172D8">
      <w:pPr>
        <w:ind w:firstLine="567"/>
        <w:jc w:val="both"/>
        <w:rPr>
          <w:rFonts w:asciiTheme="majorBidi" w:hAnsiTheme="majorBidi" w:cstheme="majorBidi"/>
          <w:sz w:val="20"/>
          <w:szCs w:val="20"/>
        </w:rPr>
      </w:pPr>
      <w:r w:rsidRPr="00A715D9">
        <w:rPr>
          <w:rFonts w:asciiTheme="majorBidi" w:hAnsiTheme="majorBidi" w:cstheme="majorBidi"/>
          <w:sz w:val="20"/>
          <w:szCs w:val="20"/>
        </w:rPr>
        <w:t>2) Toutefois, ces redevances sont aussi imposables dans l'Etat contractant d'où elles proviennent et selon la législation de cet Etat, mais si la personne qui reçoit les redevances en est le bénéficiaire effectif, l'impôt, ainsi établi, ne peut excéder 10 pour cent du montant brut des redevances.</w:t>
      </w:r>
    </w:p>
    <w:p w:rsidR="00A72886" w:rsidRPr="00A715D9" w:rsidRDefault="00A72886" w:rsidP="006172D8">
      <w:pPr>
        <w:ind w:firstLine="567"/>
        <w:jc w:val="both"/>
        <w:rPr>
          <w:rFonts w:asciiTheme="majorBidi" w:hAnsiTheme="majorBidi" w:cstheme="majorBidi"/>
          <w:sz w:val="20"/>
          <w:szCs w:val="20"/>
        </w:rPr>
      </w:pPr>
    </w:p>
    <w:p w:rsidR="006172D8" w:rsidRPr="00A715D9" w:rsidRDefault="006172D8" w:rsidP="006172D8">
      <w:pPr>
        <w:ind w:firstLine="567"/>
        <w:jc w:val="both"/>
        <w:rPr>
          <w:rFonts w:asciiTheme="majorBidi" w:hAnsiTheme="majorBidi" w:cstheme="majorBidi"/>
          <w:sz w:val="20"/>
          <w:szCs w:val="20"/>
        </w:rPr>
      </w:pPr>
      <w:r w:rsidRPr="00A715D9">
        <w:rPr>
          <w:rFonts w:asciiTheme="majorBidi" w:hAnsiTheme="majorBidi" w:cstheme="majorBidi"/>
          <w:sz w:val="20"/>
          <w:szCs w:val="20"/>
        </w:rPr>
        <w:t>3) Le terme «redevances» employé dans le présent article désigne les rémunérations de toute nature payées pour l'usage ou la concession de l'usage d'un droit d'auteur sur une œuvre littéraire, artistique ou scientifique, (y compris les films cinématographiques et les films, enregistrement ou disques pour la radio ou la télévision) d'un brevet, d'une marque de fabrique ou de commerce, d'un dessin ou d'un modèle, d'un plan, d'une formule ou d'un procédé secrets ou pour des informations ayant trait à une expérience acquise dans le domaine industriel, commercial ou scientifique.</w:t>
      </w:r>
    </w:p>
    <w:p w:rsidR="006172D8" w:rsidRPr="00A715D9" w:rsidRDefault="006172D8" w:rsidP="006172D8">
      <w:pPr>
        <w:spacing w:before="240"/>
        <w:rPr>
          <w:rFonts w:asciiTheme="majorBidi" w:hAnsiTheme="majorBidi" w:cstheme="majorBidi"/>
          <w:b/>
          <w:sz w:val="20"/>
          <w:szCs w:val="20"/>
        </w:rPr>
      </w:pPr>
      <w:r w:rsidRPr="00A715D9">
        <w:rPr>
          <w:rFonts w:asciiTheme="majorBidi" w:hAnsiTheme="majorBidi" w:cstheme="majorBidi"/>
          <w:b/>
          <w:sz w:val="20"/>
          <w:szCs w:val="20"/>
        </w:rPr>
        <w:t>……………….</w:t>
      </w:r>
    </w:p>
    <w:p w:rsidR="006172D8" w:rsidRPr="00A715D9" w:rsidRDefault="006172D8" w:rsidP="006172D8">
      <w:pPr>
        <w:spacing w:before="240"/>
        <w:rPr>
          <w:rFonts w:asciiTheme="majorBidi" w:hAnsiTheme="majorBidi" w:cstheme="majorBidi"/>
          <w:b/>
          <w:sz w:val="20"/>
          <w:szCs w:val="20"/>
        </w:rPr>
      </w:pPr>
      <w:r w:rsidRPr="00A715D9">
        <w:rPr>
          <w:rFonts w:asciiTheme="majorBidi" w:hAnsiTheme="majorBidi" w:cstheme="majorBidi"/>
          <w:b/>
          <w:sz w:val="20"/>
          <w:szCs w:val="20"/>
        </w:rPr>
        <w:t xml:space="preserve"> </w:t>
      </w:r>
    </w:p>
    <w:p w:rsidR="006172D8" w:rsidRPr="00A715D9" w:rsidRDefault="006172D8" w:rsidP="006172D8">
      <w:pPr>
        <w:jc w:val="both"/>
        <w:rPr>
          <w:rFonts w:asciiTheme="majorBidi" w:hAnsiTheme="majorBidi" w:cstheme="majorBidi"/>
          <w:b/>
          <w:bCs/>
          <w:sz w:val="20"/>
          <w:szCs w:val="20"/>
        </w:rPr>
      </w:pPr>
      <w:r w:rsidRPr="00A715D9">
        <w:rPr>
          <w:rFonts w:asciiTheme="majorBidi" w:hAnsiTheme="majorBidi" w:cstheme="majorBidi"/>
          <w:b/>
          <w:bCs/>
          <w:sz w:val="20"/>
          <w:szCs w:val="20"/>
        </w:rPr>
        <w:t>Article 12-A : Les Rémunérations techniques</w:t>
      </w:r>
    </w:p>
    <w:p w:rsidR="006172D8" w:rsidRPr="00A715D9" w:rsidRDefault="006172D8" w:rsidP="006172D8">
      <w:pPr>
        <w:jc w:val="both"/>
        <w:rPr>
          <w:rFonts w:asciiTheme="majorBidi" w:hAnsiTheme="majorBidi" w:cstheme="majorBidi"/>
          <w:sz w:val="20"/>
          <w:szCs w:val="20"/>
        </w:rPr>
      </w:pPr>
    </w:p>
    <w:p w:rsidR="006172D8" w:rsidRPr="00A715D9" w:rsidRDefault="006172D8" w:rsidP="006172D8">
      <w:pPr>
        <w:jc w:val="both"/>
        <w:rPr>
          <w:rFonts w:asciiTheme="majorBidi" w:hAnsiTheme="majorBidi" w:cstheme="majorBidi"/>
          <w:sz w:val="20"/>
          <w:szCs w:val="20"/>
        </w:rPr>
      </w:pPr>
      <w:r w:rsidRPr="00A715D9">
        <w:rPr>
          <w:rFonts w:asciiTheme="majorBidi" w:hAnsiTheme="majorBidi" w:cstheme="majorBidi"/>
          <w:sz w:val="20"/>
          <w:szCs w:val="20"/>
        </w:rPr>
        <w:t>1) Les rémunérations techniques provenant d'un Etat contractant et payées à un résident de l'autre Etat contractant sont imposables dans cet autre Etat.</w:t>
      </w:r>
    </w:p>
    <w:p w:rsidR="00A72886" w:rsidRPr="00A715D9" w:rsidRDefault="00A72886" w:rsidP="006172D8">
      <w:pPr>
        <w:jc w:val="both"/>
        <w:rPr>
          <w:rFonts w:asciiTheme="majorBidi" w:hAnsiTheme="majorBidi" w:cstheme="majorBidi"/>
          <w:sz w:val="20"/>
          <w:szCs w:val="20"/>
        </w:rPr>
      </w:pPr>
    </w:p>
    <w:p w:rsidR="006172D8" w:rsidRPr="00A715D9" w:rsidRDefault="006172D8" w:rsidP="006172D8">
      <w:pPr>
        <w:jc w:val="both"/>
        <w:rPr>
          <w:rFonts w:asciiTheme="majorBidi" w:hAnsiTheme="majorBidi" w:cstheme="majorBidi"/>
          <w:sz w:val="20"/>
          <w:szCs w:val="20"/>
        </w:rPr>
      </w:pPr>
      <w:r w:rsidRPr="00A715D9">
        <w:rPr>
          <w:rFonts w:asciiTheme="majorBidi" w:hAnsiTheme="majorBidi" w:cstheme="majorBidi"/>
          <w:sz w:val="20"/>
          <w:szCs w:val="20"/>
        </w:rPr>
        <w:t>2) Toutefois, ces rémunérations techniques sont aussi imposables dans l'Etat contractant d'où elles proviennent et selon la législation de cet Etat, mais si la personne qui reçoit les rémunérations techniques en est le bénéficiaire effectif, l'impôt ainsi établi, ne peut excéder 12 pour cent du montant brut des rémunérations.</w:t>
      </w:r>
    </w:p>
    <w:p w:rsidR="00A72886" w:rsidRPr="00A715D9" w:rsidRDefault="00A72886" w:rsidP="006172D8">
      <w:pPr>
        <w:jc w:val="both"/>
        <w:rPr>
          <w:rFonts w:asciiTheme="majorBidi" w:hAnsiTheme="majorBidi" w:cstheme="majorBidi"/>
          <w:sz w:val="20"/>
          <w:szCs w:val="20"/>
        </w:rPr>
      </w:pPr>
    </w:p>
    <w:p w:rsidR="006172D8" w:rsidRPr="00A715D9" w:rsidRDefault="006172D8" w:rsidP="006172D8">
      <w:pPr>
        <w:jc w:val="both"/>
        <w:rPr>
          <w:rFonts w:asciiTheme="majorBidi" w:hAnsiTheme="majorBidi" w:cstheme="majorBidi"/>
          <w:sz w:val="20"/>
          <w:szCs w:val="20"/>
        </w:rPr>
      </w:pPr>
      <w:r w:rsidRPr="00A715D9">
        <w:rPr>
          <w:rFonts w:asciiTheme="majorBidi" w:hAnsiTheme="majorBidi" w:cstheme="majorBidi"/>
          <w:sz w:val="20"/>
          <w:szCs w:val="20"/>
        </w:rPr>
        <w:t>3) Le terme «rémunérations techniques» employé dans le présent article désigne les paiements de toute nature à toute personne, autre qu'un employé de la personne qui effectue ces paiements, en contre partie de tout service telles que les études techniques et économiques et l'assistance technique et autres services à caractère technique ou consultatif.</w:t>
      </w:r>
    </w:p>
    <w:p w:rsidR="006172D8" w:rsidRPr="00A715D9" w:rsidRDefault="006172D8" w:rsidP="006172D8">
      <w:pPr>
        <w:jc w:val="both"/>
        <w:rPr>
          <w:rFonts w:asciiTheme="majorBidi" w:hAnsiTheme="majorBidi" w:cstheme="majorBidi"/>
          <w:sz w:val="20"/>
          <w:szCs w:val="20"/>
        </w:rPr>
      </w:pPr>
    </w:p>
    <w:p w:rsidR="006172D8" w:rsidRPr="00A715D9" w:rsidRDefault="006172D8" w:rsidP="006172D8">
      <w:pPr>
        <w:jc w:val="both"/>
        <w:rPr>
          <w:rFonts w:asciiTheme="majorBidi" w:hAnsiTheme="majorBidi" w:cstheme="majorBidi"/>
          <w:sz w:val="20"/>
          <w:szCs w:val="20"/>
        </w:rPr>
      </w:pPr>
      <w:r w:rsidRPr="00A715D9">
        <w:rPr>
          <w:rFonts w:asciiTheme="majorBidi" w:hAnsiTheme="majorBidi" w:cstheme="majorBidi"/>
          <w:sz w:val="20"/>
          <w:szCs w:val="20"/>
        </w:rPr>
        <w:t>……………….</w:t>
      </w:r>
    </w:p>
    <w:p w:rsidR="006172D8" w:rsidRPr="00A715D9" w:rsidRDefault="006172D8" w:rsidP="006172D8">
      <w:pPr>
        <w:jc w:val="both"/>
        <w:rPr>
          <w:rFonts w:asciiTheme="majorBidi" w:hAnsiTheme="majorBidi" w:cstheme="majorBidi"/>
          <w:sz w:val="20"/>
          <w:szCs w:val="20"/>
        </w:rPr>
      </w:pPr>
    </w:p>
    <w:p w:rsidR="00A72886" w:rsidRPr="00A715D9" w:rsidRDefault="00A72886" w:rsidP="00A72886">
      <w:pPr>
        <w:ind w:firstLine="567"/>
        <w:jc w:val="both"/>
        <w:rPr>
          <w:rFonts w:asciiTheme="majorBidi" w:hAnsiTheme="majorBidi" w:cstheme="majorBidi"/>
          <w:b/>
          <w:bCs/>
          <w:sz w:val="20"/>
          <w:szCs w:val="20"/>
        </w:rPr>
      </w:pPr>
      <w:r w:rsidRPr="00A715D9">
        <w:rPr>
          <w:rFonts w:asciiTheme="majorBidi" w:hAnsiTheme="majorBidi" w:cstheme="majorBidi"/>
          <w:b/>
          <w:bCs/>
          <w:sz w:val="20"/>
          <w:szCs w:val="20"/>
        </w:rPr>
        <w:t>Article 15 : Professions dépendantes</w:t>
      </w:r>
    </w:p>
    <w:p w:rsidR="00A72886" w:rsidRPr="00A715D9" w:rsidRDefault="00A72886" w:rsidP="00A72886">
      <w:pPr>
        <w:ind w:firstLine="567"/>
        <w:jc w:val="both"/>
        <w:rPr>
          <w:rFonts w:asciiTheme="majorBidi" w:hAnsiTheme="majorBidi" w:cstheme="majorBidi"/>
          <w:sz w:val="20"/>
          <w:szCs w:val="20"/>
        </w:rPr>
      </w:pPr>
    </w:p>
    <w:p w:rsidR="00A72886" w:rsidRPr="00A715D9" w:rsidRDefault="00A72886" w:rsidP="00A72886">
      <w:pPr>
        <w:jc w:val="both"/>
        <w:rPr>
          <w:rFonts w:asciiTheme="majorBidi" w:hAnsiTheme="majorBidi" w:cstheme="majorBidi"/>
          <w:sz w:val="20"/>
          <w:szCs w:val="20"/>
        </w:rPr>
      </w:pPr>
      <w:r w:rsidRPr="00A715D9">
        <w:rPr>
          <w:rFonts w:asciiTheme="majorBidi" w:hAnsiTheme="majorBidi" w:cstheme="majorBidi"/>
          <w:sz w:val="20"/>
          <w:szCs w:val="20"/>
        </w:rPr>
        <w:t>1) Sous réserve des dispositions des articles 16, 18 et 19, les salaires, traitements et autres rémunérations similaires qu'un résident d'un Etat contractant reçoit au titre d'un emploi ne sont imposables que dans cet Etat, à moins que l'emploi ne soit exercé dans l'autre Etat. Si l'emploi y est exercé, les rémunérations reçues à ce titre sont imposables dans cet autre Etat.</w:t>
      </w:r>
    </w:p>
    <w:p w:rsidR="00A72886" w:rsidRPr="00A715D9" w:rsidRDefault="00A72886" w:rsidP="00A72886">
      <w:pPr>
        <w:jc w:val="both"/>
        <w:rPr>
          <w:rFonts w:asciiTheme="majorBidi" w:hAnsiTheme="majorBidi" w:cstheme="majorBidi"/>
          <w:sz w:val="20"/>
          <w:szCs w:val="20"/>
        </w:rPr>
      </w:pPr>
    </w:p>
    <w:p w:rsidR="00A72886" w:rsidRPr="00A715D9" w:rsidRDefault="00A72886" w:rsidP="00A72886">
      <w:pPr>
        <w:jc w:val="both"/>
        <w:rPr>
          <w:rFonts w:asciiTheme="majorBidi" w:hAnsiTheme="majorBidi" w:cstheme="majorBidi"/>
          <w:sz w:val="20"/>
          <w:szCs w:val="20"/>
        </w:rPr>
      </w:pPr>
      <w:r w:rsidRPr="00A715D9">
        <w:rPr>
          <w:rFonts w:asciiTheme="majorBidi" w:hAnsiTheme="majorBidi" w:cstheme="majorBidi"/>
          <w:sz w:val="20"/>
          <w:szCs w:val="20"/>
        </w:rPr>
        <w:t>2) Nonobstant les dispositions du paragraphe 1, les rémunérations qu'un résident d'un Etat contractant reçoit au titre d'un emploi exercé dans l'autre Etat contractant ne sont imposables que dans le premier Etat si :</w:t>
      </w:r>
    </w:p>
    <w:p w:rsidR="00A72886" w:rsidRPr="00A715D9" w:rsidRDefault="00A72886" w:rsidP="00A72886">
      <w:pPr>
        <w:ind w:firstLine="567"/>
        <w:jc w:val="both"/>
        <w:rPr>
          <w:rFonts w:asciiTheme="majorBidi" w:hAnsiTheme="majorBidi" w:cstheme="majorBidi"/>
          <w:sz w:val="20"/>
          <w:szCs w:val="20"/>
        </w:rPr>
      </w:pPr>
    </w:p>
    <w:p w:rsidR="00A72886" w:rsidRPr="00A715D9" w:rsidRDefault="00A72886" w:rsidP="00A72886">
      <w:pPr>
        <w:ind w:firstLine="567"/>
        <w:jc w:val="both"/>
        <w:rPr>
          <w:rFonts w:asciiTheme="majorBidi" w:hAnsiTheme="majorBidi" w:cstheme="majorBidi"/>
          <w:sz w:val="20"/>
          <w:szCs w:val="20"/>
        </w:rPr>
      </w:pPr>
      <w:r w:rsidRPr="00A715D9">
        <w:rPr>
          <w:rFonts w:asciiTheme="majorBidi" w:hAnsiTheme="majorBidi" w:cstheme="majorBidi"/>
          <w:sz w:val="20"/>
          <w:szCs w:val="20"/>
        </w:rPr>
        <w:t>a) le bénéficiaire séjourne dans l'autre Etat pendant une période ou des périodes n'excédant pas au total 183 jours durant toute période de 12 mois commençant ou se terminant durant l'année fiscale considérée; et</w:t>
      </w:r>
    </w:p>
    <w:p w:rsidR="00A72886" w:rsidRPr="00A715D9" w:rsidRDefault="00A72886" w:rsidP="00A72886">
      <w:pPr>
        <w:ind w:firstLine="567"/>
        <w:jc w:val="both"/>
        <w:rPr>
          <w:rFonts w:asciiTheme="majorBidi" w:hAnsiTheme="majorBidi" w:cstheme="majorBidi"/>
          <w:sz w:val="20"/>
          <w:szCs w:val="20"/>
        </w:rPr>
      </w:pPr>
    </w:p>
    <w:p w:rsidR="00A72886" w:rsidRPr="00A715D9" w:rsidRDefault="00A72886" w:rsidP="00A72886">
      <w:pPr>
        <w:ind w:firstLine="567"/>
        <w:jc w:val="both"/>
        <w:rPr>
          <w:rFonts w:asciiTheme="majorBidi" w:hAnsiTheme="majorBidi" w:cstheme="majorBidi"/>
          <w:sz w:val="20"/>
          <w:szCs w:val="20"/>
        </w:rPr>
      </w:pPr>
      <w:r w:rsidRPr="00A715D9">
        <w:rPr>
          <w:rFonts w:asciiTheme="majorBidi" w:hAnsiTheme="majorBidi" w:cstheme="majorBidi"/>
          <w:sz w:val="20"/>
          <w:szCs w:val="20"/>
        </w:rPr>
        <w:t>b) les rémunérations sont payées par un employeur ou au nom d'un employeur qui n'est pas un résident de l'autre Etat; et</w:t>
      </w:r>
    </w:p>
    <w:p w:rsidR="00A72886" w:rsidRPr="00A715D9" w:rsidRDefault="00A72886" w:rsidP="00A72886">
      <w:pPr>
        <w:ind w:firstLine="567"/>
        <w:jc w:val="both"/>
        <w:rPr>
          <w:rFonts w:asciiTheme="majorBidi" w:hAnsiTheme="majorBidi" w:cstheme="majorBidi"/>
          <w:sz w:val="20"/>
          <w:szCs w:val="20"/>
        </w:rPr>
      </w:pPr>
    </w:p>
    <w:p w:rsidR="00A72886" w:rsidRPr="00A715D9" w:rsidRDefault="00A72886" w:rsidP="00A72886">
      <w:pPr>
        <w:ind w:firstLine="567"/>
        <w:jc w:val="both"/>
        <w:rPr>
          <w:rFonts w:asciiTheme="majorBidi" w:hAnsiTheme="majorBidi" w:cstheme="majorBidi"/>
          <w:sz w:val="20"/>
          <w:szCs w:val="20"/>
        </w:rPr>
      </w:pPr>
      <w:r w:rsidRPr="00A715D9">
        <w:rPr>
          <w:rFonts w:asciiTheme="majorBidi" w:hAnsiTheme="majorBidi" w:cstheme="majorBidi"/>
          <w:sz w:val="20"/>
          <w:szCs w:val="20"/>
        </w:rPr>
        <w:t>c) la charge des rémunérations n'est pas supportée par un établissement stable ou une base fixe que l'employeur a dans l'autre Etat.</w:t>
      </w:r>
    </w:p>
    <w:p w:rsidR="00A72886" w:rsidRPr="00A715D9" w:rsidRDefault="00A72886" w:rsidP="00A72886">
      <w:pPr>
        <w:ind w:firstLine="567"/>
        <w:jc w:val="both"/>
        <w:rPr>
          <w:rFonts w:asciiTheme="majorBidi" w:hAnsiTheme="majorBidi" w:cstheme="majorBidi"/>
          <w:sz w:val="20"/>
          <w:szCs w:val="20"/>
        </w:rPr>
      </w:pPr>
    </w:p>
    <w:p w:rsidR="006172D8" w:rsidRPr="00A715D9" w:rsidRDefault="00A72886" w:rsidP="00A72886">
      <w:pPr>
        <w:jc w:val="both"/>
        <w:rPr>
          <w:rFonts w:asciiTheme="majorBidi" w:hAnsiTheme="majorBidi" w:cstheme="majorBidi"/>
          <w:sz w:val="20"/>
          <w:szCs w:val="20"/>
        </w:rPr>
      </w:pPr>
      <w:r w:rsidRPr="00A715D9">
        <w:rPr>
          <w:rFonts w:asciiTheme="majorBidi" w:hAnsiTheme="majorBidi" w:cstheme="majorBidi"/>
          <w:sz w:val="20"/>
          <w:szCs w:val="20"/>
        </w:rPr>
        <w:lastRenderedPageBreak/>
        <w:t>3) Nonobstant les dispositions précédentes du présent article, les rémunérations au titre d'un emploi salarié exercé à bord d'un navire ou d'un aéronef exploité en trafic international, ne sont imposables que dans l'Etat contractant où le siège de direction effective de l'entreprise est situé.</w:t>
      </w:r>
    </w:p>
    <w:p w:rsidR="007C520F" w:rsidRPr="00A715D9" w:rsidRDefault="007C520F" w:rsidP="005019D8">
      <w:pPr>
        <w:jc w:val="both"/>
        <w:rPr>
          <w:rFonts w:asciiTheme="majorBidi" w:hAnsiTheme="majorBidi" w:cstheme="majorBidi"/>
          <w:sz w:val="20"/>
          <w:szCs w:val="20"/>
        </w:rPr>
      </w:pPr>
    </w:p>
    <w:p w:rsidR="007C520F" w:rsidRPr="00A715D9" w:rsidRDefault="007C520F" w:rsidP="005019D8">
      <w:pPr>
        <w:jc w:val="both"/>
        <w:rPr>
          <w:rFonts w:asciiTheme="majorBidi" w:hAnsiTheme="majorBidi" w:cstheme="majorBidi"/>
          <w:sz w:val="20"/>
          <w:szCs w:val="20"/>
        </w:rPr>
      </w:pPr>
    </w:p>
    <w:p w:rsidR="005019D8" w:rsidRPr="00A715D9" w:rsidRDefault="003355ED" w:rsidP="005019D8">
      <w:pPr>
        <w:jc w:val="both"/>
        <w:rPr>
          <w:rFonts w:asciiTheme="majorBidi" w:hAnsiTheme="majorBidi" w:cstheme="majorBidi"/>
          <w:sz w:val="20"/>
          <w:szCs w:val="20"/>
        </w:rPr>
      </w:pPr>
      <w:r w:rsidRPr="00A715D9">
        <w:rPr>
          <w:rFonts w:asciiTheme="majorBidi" w:hAnsiTheme="majorBidi" w:cstheme="majorBidi"/>
          <w:sz w:val="20"/>
          <w:szCs w:val="20"/>
        </w:rPr>
        <w:t xml:space="preserve">NB : </w:t>
      </w:r>
      <w:r w:rsidR="005019D8" w:rsidRPr="00A715D9">
        <w:rPr>
          <w:rFonts w:asciiTheme="majorBidi" w:hAnsiTheme="majorBidi" w:cstheme="majorBidi"/>
          <w:sz w:val="20"/>
          <w:szCs w:val="20"/>
        </w:rPr>
        <w:t xml:space="preserve">Aucune convention </w:t>
      </w:r>
      <w:r w:rsidR="00721002" w:rsidRPr="00A715D9">
        <w:rPr>
          <w:rFonts w:asciiTheme="majorBidi" w:hAnsiTheme="majorBidi" w:cstheme="majorBidi"/>
          <w:sz w:val="20"/>
          <w:szCs w:val="20"/>
        </w:rPr>
        <w:t xml:space="preserve">de non double imposition </w:t>
      </w:r>
      <w:r w:rsidR="005019D8" w:rsidRPr="00A715D9">
        <w:rPr>
          <w:rFonts w:asciiTheme="majorBidi" w:hAnsiTheme="majorBidi" w:cstheme="majorBidi"/>
          <w:sz w:val="20"/>
          <w:szCs w:val="20"/>
        </w:rPr>
        <w:t>ne lie la Tunisie au Japon.</w:t>
      </w: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142134" w:rsidRPr="00594320" w:rsidRDefault="00142134" w:rsidP="005019D8">
      <w:pPr>
        <w:jc w:val="both"/>
        <w:rPr>
          <w:rFonts w:asciiTheme="majorBidi" w:hAnsiTheme="majorBidi" w:cstheme="majorBidi"/>
          <w:sz w:val="28"/>
          <w:szCs w:val="28"/>
        </w:rPr>
      </w:pPr>
    </w:p>
    <w:p w:rsidR="00A715D9" w:rsidRDefault="00A715D9" w:rsidP="00142134">
      <w:pPr>
        <w:jc w:val="center"/>
        <w:rPr>
          <w:rFonts w:asciiTheme="majorBidi" w:hAnsiTheme="majorBidi" w:cstheme="majorBidi"/>
          <w:b/>
          <w:bCs/>
          <w:sz w:val="32"/>
          <w:szCs w:val="32"/>
          <w:rtl/>
        </w:rPr>
      </w:pPr>
    </w:p>
    <w:p w:rsidR="00A715D9" w:rsidRDefault="00A715D9" w:rsidP="00142134">
      <w:pPr>
        <w:jc w:val="center"/>
        <w:rPr>
          <w:rFonts w:asciiTheme="majorBidi" w:hAnsiTheme="majorBidi" w:cstheme="majorBidi"/>
          <w:b/>
          <w:bCs/>
          <w:sz w:val="32"/>
          <w:szCs w:val="32"/>
          <w:rtl/>
        </w:rPr>
      </w:pPr>
    </w:p>
    <w:p w:rsidR="00A715D9" w:rsidRDefault="00A715D9" w:rsidP="00142134">
      <w:pPr>
        <w:jc w:val="center"/>
        <w:rPr>
          <w:rFonts w:asciiTheme="majorBidi" w:hAnsiTheme="majorBidi" w:cstheme="majorBidi"/>
          <w:b/>
          <w:bCs/>
          <w:sz w:val="32"/>
          <w:szCs w:val="32"/>
          <w:rtl/>
        </w:rPr>
      </w:pPr>
    </w:p>
    <w:p w:rsidR="00A715D9" w:rsidRDefault="00A715D9" w:rsidP="00142134">
      <w:pPr>
        <w:jc w:val="center"/>
        <w:rPr>
          <w:rFonts w:asciiTheme="majorBidi" w:hAnsiTheme="majorBidi" w:cstheme="majorBidi"/>
          <w:b/>
          <w:bCs/>
          <w:sz w:val="32"/>
          <w:szCs w:val="32"/>
          <w:rtl/>
        </w:rPr>
      </w:pPr>
    </w:p>
    <w:p w:rsidR="00A715D9" w:rsidRDefault="00A715D9" w:rsidP="00142134">
      <w:pPr>
        <w:jc w:val="center"/>
        <w:rPr>
          <w:rFonts w:asciiTheme="majorBidi" w:hAnsiTheme="majorBidi" w:cstheme="majorBidi"/>
          <w:b/>
          <w:bCs/>
          <w:sz w:val="32"/>
          <w:szCs w:val="32"/>
          <w:rtl/>
        </w:rPr>
      </w:pPr>
    </w:p>
    <w:p w:rsidR="00A715D9" w:rsidRDefault="00A715D9" w:rsidP="00142134">
      <w:pPr>
        <w:jc w:val="center"/>
        <w:rPr>
          <w:rFonts w:asciiTheme="majorBidi" w:hAnsiTheme="majorBidi" w:cstheme="majorBidi"/>
          <w:b/>
          <w:bCs/>
          <w:sz w:val="32"/>
          <w:szCs w:val="32"/>
          <w:rtl/>
        </w:rPr>
      </w:pPr>
    </w:p>
    <w:p w:rsidR="00A715D9" w:rsidRDefault="00A715D9" w:rsidP="00142134">
      <w:pPr>
        <w:jc w:val="center"/>
        <w:rPr>
          <w:rFonts w:asciiTheme="majorBidi" w:hAnsiTheme="majorBidi" w:cstheme="majorBidi"/>
          <w:b/>
          <w:bCs/>
          <w:sz w:val="32"/>
          <w:szCs w:val="32"/>
          <w:rtl/>
        </w:rPr>
      </w:pPr>
    </w:p>
    <w:p w:rsidR="00A715D9" w:rsidRDefault="00A715D9" w:rsidP="00142134">
      <w:pPr>
        <w:jc w:val="center"/>
        <w:rPr>
          <w:rFonts w:asciiTheme="majorBidi" w:hAnsiTheme="majorBidi" w:cstheme="majorBidi"/>
          <w:b/>
          <w:bCs/>
          <w:sz w:val="32"/>
          <w:szCs w:val="32"/>
          <w:rtl/>
        </w:rPr>
      </w:pPr>
    </w:p>
    <w:p w:rsidR="00A715D9" w:rsidRDefault="00A715D9" w:rsidP="00142134">
      <w:pPr>
        <w:jc w:val="center"/>
        <w:rPr>
          <w:rFonts w:asciiTheme="majorBidi" w:hAnsiTheme="majorBidi" w:cstheme="majorBidi"/>
          <w:b/>
          <w:bCs/>
          <w:sz w:val="32"/>
          <w:szCs w:val="32"/>
          <w:rtl/>
        </w:rPr>
      </w:pPr>
    </w:p>
    <w:p w:rsidR="00A715D9" w:rsidRDefault="00A715D9" w:rsidP="00142134">
      <w:pPr>
        <w:jc w:val="center"/>
        <w:rPr>
          <w:rFonts w:asciiTheme="majorBidi" w:hAnsiTheme="majorBidi" w:cstheme="majorBidi"/>
          <w:b/>
          <w:bCs/>
          <w:sz w:val="32"/>
          <w:szCs w:val="32"/>
          <w:rtl/>
        </w:rPr>
      </w:pPr>
    </w:p>
    <w:p w:rsidR="00A715D9" w:rsidRDefault="00A715D9" w:rsidP="00142134">
      <w:pPr>
        <w:jc w:val="center"/>
        <w:rPr>
          <w:rFonts w:asciiTheme="majorBidi" w:hAnsiTheme="majorBidi" w:cstheme="majorBidi"/>
          <w:b/>
          <w:bCs/>
          <w:sz w:val="32"/>
          <w:szCs w:val="32"/>
          <w:rtl/>
        </w:rPr>
      </w:pPr>
    </w:p>
    <w:p w:rsidR="00A715D9" w:rsidRDefault="00A715D9" w:rsidP="00142134">
      <w:pPr>
        <w:jc w:val="center"/>
        <w:rPr>
          <w:rFonts w:asciiTheme="majorBidi" w:hAnsiTheme="majorBidi" w:cstheme="majorBidi"/>
          <w:b/>
          <w:bCs/>
          <w:sz w:val="32"/>
          <w:szCs w:val="32"/>
          <w:rtl/>
        </w:rPr>
      </w:pPr>
    </w:p>
    <w:p w:rsidR="00A715D9" w:rsidRDefault="00A715D9" w:rsidP="00142134">
      <w:pPr>
        <w:jc w:val="center"/>
        <w:rPr>
          <w:rFonts w:asciiTheme="majorBidi" w:hAnsiTheme="majorBidi" w:cstheme="majorBidi"/>
          <w:b/>
          <w:bCs/>
          <w:sz w:val="32"/>
          <w:szCs w:val="32"/>
          <w:rtl/>
        </w:rPr>
      </w:pPr>
    </w:p>
    <w:p w:rsidR="00A715D9" w:rsidRDefault="00A715D9" w:rsidP="00142134">
      <w:pPr>
        <w:jc w:val="center"/>
        <w:rPr>
          <w:rFonts w:asciiTheme="majorBidi" w:hAnsiTheme="majorBidi" w:cstheme="majorBidi"/>
          <w:b/>
          <w:bCs/>
          <w:sz w:val="32"/>
          <w:szCs w:val="32"/>
          <w:rtl/>
        </w:rPr>
      </w:pPr>
    </w:p>
    <w:sectPr w:rsidR="00A715D9" w:rsidSect="003C092D">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6DE" w:rsidRDefault="007306DE">
      <w:r>
        <w:separator/>
      </w:r>
    </w:p>
  </w:endnote>
  <w:endnote w:type="continuationSeparator" w:id="1">
    <w:p w:rsidR="007306DE" w:rsidRDefault="00730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04" w:rsidRDefault="004A3C63">
    <w:pPr>
      <w:pStyle w:val="Pieddepage"/>
      <w:framePr w:wrap="around" w:vAnchor="text" w:hAnchor="margin" w:xAlign="center" w:y="1"/>
      <w:rPr>
        <w:rStyle w:val="Numrodepage"/>
      </w:rPr>
    </w:pPr>
    <w:r>
      <w:rPr>
        <w:rStyle w:val="Numrodepage"/>
      </w:rPr>
      <w:fldChar w:fldCharType="begin"/>
    </w:r>
    <w:r w:rsidR="00AC4D04">
      <w:rPr>
        <w:rStyle w:val="Numrodepage"/>
      </w:rPr>
      <w:instrText xml:space="preserve">PAGE  </w:instrText>
    </w:r>
    <w:r>
      <w:rPr>
        <w:rStyle w:val="Numrodepage"/>
      </w:rPr>
      <w:fldChar w:fldCharType="end"/>
    </w:r>
  </w:p>
  <w:p w:rsidR="00AC4D04" w:rsidRDefault="00AC4D0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04" w:rsidRDefault="004A3C63">
    <w:pPr>
      <w:pStyle w:val="Pieddepage"/>
      <w:framePr w:wrap="around" w:vAnchor="text" w:hAnchor="margin" w:xAlign="center" w:y="1"/>
      <w:rPr>
        <w:rStyle w:val="Numrodepage"/>
      </w:rPr>
    </w:pPr>
    <w:r>
      <w:rPr>
        <w:rStyle w:val="Numrodepage"/>
      </w:rPr>
      <w:fldChar w:fldCharType="begin"/>
    </w:r>
    <w:r w:rsidR="00AC4D04">
      <w:rPr>
        <w:rStyle w:val="Numrodepage"/>
      </w:rPr>
      <w:instrText xml:space="preserve">PAGE  </w:instrText>
    </w:r>
    <w:r>
      <w:rPr>
        <w:rStyle w:val="Numrodepage"/>
      </w:rPr>
      <w:fldChar w:fldCharType="separate"/>
    </w:r>
    <w:r w:rsidR="003D41C5">
      <w:rPr>
        <w:rStyle w:val="Numrodepage"/>
        <w:noProof/>
      </w:rPr>
      <w:t>4</w:t>
    </w:r>
    <w:r>
      <w:rPr>
        <w:rStyle w:val="Numrodepage"/>
      </w:rPr>
      <w:fldChar w:fldCharType="end"/>
    </w:r>
  </w:p>
  <w:p w:rsidR="00AC4D04" w:rsidRDefault="00AC4D0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6DE" w:rsidRDefault="007306DE">
      <w:r>
        <w:separator/>
      </w:r>
    </w:p>
  </w:footnote>
  <w:footnote w:type="continuationSeparator" w:id="1">
    <w:p w:rsidR="007306DE" w:rsidRDefault="00730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095E"/>
    <w:multiLevelType w:val="hybridMultilevel"/>
    <w:tmpl w:val="248ED17C"/>
    <w:lvl w:ilvl="0" w:tplc="BE90512C">
      <w:start w:val="1"/>
      <w:numFmt w:val="decimal"/>
      <w:lvlText w:val="%1)"/>
      <w:lvlJc w:val="left"/>
      <w:pPr>
        <w:tabs>
          <w:tab w:val="num" w:pos="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D104693"/>
    <w:multiLevelType w:val="hybridMultilevel"/>
    <w:tmpl w:val="5CBACEA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4967EA7"/>
    <w:multiLevelType w:val="hybridMultilevel"/>
    <w:tmpl w:val="4020A16A"/>
    <w:lvl w:ilvl="0" w:tplc="F4F891C4">
      <w:start w:val="1"/>
      <w:numFmt w:val="decimal"/>
      <w:lvlText w:val="%1."/>
      <w:lvlJc w:val="left"/>
      <w:pPr>
        <w:tabs>
          <w:tab w:val="num" w:pos="709"/>
        </w:tabs>
        <w:ind w:left="0" w:firstLine="709"/>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82028C2"/>
    <w:multiLevelType w:val="hybridMultilevel"/>
    <w:tmpl w:val="9AA8BE7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1E5A0B09"/>
    <w:multiLevelType w:val="hybridMultilevel"/>
    <w:tmpl w:val="C576CE16"/>
    <w:lvl w:ilvl="0" w:tplc="71A2F224">
      <w:numFmt w:val="bullet"/>
      <w:lvlText w:val="-"/>
      <w:lvlJc w:val="left"/>
      <w:pPr>
        <w:tabs>
          <w:tab w:val="num" w:pos="720"/>
        </w:tabs>
        <w:ind w:left="720" w:hanging="360"/>
      </w:pPr>
      <w:rPr>
        <w:rFonts w:ascii="Times New Roman" w:eastAsia="Times New Roman" w:hAnsi="Times New Roman" w:cs="Times New Roman" w:hint="default"/>
      </w:rPr>
    </w:lvl>
    <w:lvl w:ilvl="1" w:tplc="F4F891C4">
      <w:start w:val="1"/>
      <w:numFmt w:val="decimal"/>
      <w:lvlText w:val="%2."/>
      <w:lvlJc w:val="left"/>
      <w:pPr>
        <w:tabs>
          <w:tab w:val="num" w:pos="1080"/>
        </w:tabs>
        <w:ind w:left="371" w:firstLine="709"/>
      </w:pPr>
      <w:rPr>
        <w:rFonts w:hint="default"/>
      </w:rPr>
    </w:lvl>
    <w:lvl w:ilvl="2" w:tplc="9AF2D42C">
      <w:start w:val="1"/>
      <w:numFmt w:val="upperRoman"/>
      <w:lvlText w:val="%3-"/>
      <w:lvlJc w:val="left"/>
      <w:pPr>
        <w:tabs>
          <w:tab w:val="num" w:pos="2520"/>
        </w:tabs>
        <w:ind w:left="2520" w:hanging="72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EFD01A9"/>
    <w:multiLevelType w:val="hybridMultilevel"/>
    <w:tmpl w:val="0FAA5098"/>
    <w:lvl w:ilvl="0" w:tplc="297CC388">
      <w:start w:val="1"/>
      <w:numFmt w:val="decimal"/>
      <w:lvlText w:val="%1."/>
      <w:lvlJc w:val="left"/>
      <w:pPr>
        <w:tabs>
          <w:tab w:val="num" w:pos="1260"/>
        </w:tabs>
        <w:ind w:left="1260" w:hanging="360"/>
      </w:pPr>
      <w:rPr>
        <w:b/>
        <w:bCs/>
      </w:rPr>
    </w:lvl>
    <w:lvl w:ilvl="1" w:tplc="040C0019" w:tentative="1">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6">
    <w:nsid w:val="21712D4D"/>
    <w:multiLevelType w:val="hybridMultilevel"/>
    <w:tmpl w:val="2DB4E18E"/>
    <w:lvl w:ilvl="0" w:tplc="2D103622">
      <w:start w:val="1"/>
      <w:numFmt w:val="decimal"/>
      <w:lvlText w:val="%1."/>
      <w:lvlJc w:val="left"/>
      <w:pPr>
        <w:tabs>
          <w:tab w:val="num" w:pos="1392"/>
        </w:tabs>
        <w:ind w:left="1392" w:hanging="852"/>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7">
    <w:nsid w:val="291D6979"/>
    <w:multiLevelType w:val="hybridMultilevel"/>
    <w:tmpl w:val="13FCF20A"/>
    <w:lvl w:ilvl="0" w:tplc="1116E6F2">
      <w:start w:val="2"/>
      <w:numFmt w:val="bullet"/>
      <w:lvlText w:val="-"/>
      <w:lvlJc w:val="left"/>
      <w:pPr>
        <w:tabs>
          <w:tab w:val="num" w:pos="900"/>
        </w:tabs>
        <w:ind w:left="900" w:hanging="360"/>
      </w:pPr>
      <w:rPr>
        <w:rFonts w:ascii="Times New Roman" w:eastAsia="SimSu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8">
    <w:nsid w:val="2AE0068B"/>
    <w:multiLevelType w:val="hybridMultilevel"/>
    <w:tmpl w:val="34DC6C9C"/>
    <w:lvl w:ilvl="0" w:tplc="348AEE6C">
      <w:start w:val="2"/>
      <w:numFmt w:val="decimal"/>
      <w:lvlText w:val="%1."/>
      <w:lvlJc w:val="left"/>
      <w:pPr>
        <w:tabs>
          <w:tab w:val="num" w:pos="900"/>
        </w:tabs>
        <w:ind w:left="900" w:hanging="360"/>
      </w:pPr>
      <w:rPr>
        <w:rFonts w:hint="default"/>
        <w:b/>
        <w:bCs/>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9">
    <w:nsid w:val="2E70465B"/>
    <w:multiLevelType w:val="hybridMultilevel"/>
    <w:tmpl w:val="8724DC38"/>
    <w:lvl w:ilvl="0" w:tplc="22FEF6D8">
      <w:start w:val="1"/>
      <w:numFmt w:val="upperRoman"/>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0">
    <w:nsid w:val="36DD017C"/>
    <w:multiLevelType w:val="hybridMultilevel"/>
    <w:tmpl w:val="347032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3315EC8"/>
    <w:multiLevelType w:val="hybridMultilevel"/>
    <w:tmpl w:val="CE0AFA4A"/>
    <w:lvl w:ilvl="0" w:tplc="B30AFB80">
      <w:numFmt w:val="bullet"/>
      <w:lvlText w:val="→"/>
      <w:lvlJc w:val="left"/>
      <w:pPr>
        <w:tabs>
          <w:tab w:val="num" w:pos="900"/>
        </w:tabs>
        <w:ind w:left="900" w:hanging="360"/>
      </w:pPr>
      <w:rPr>
        <w:rFonts w:ascii="Times New Roman" w:eastAsia="SimSu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2">
    <w:nsid w:val="47B06CAD"/>
    <w:multiLevelType w:val="hybridMultilevel"/>
    <w:tmpl w:val="0FAA5098"/>
    <w:lvl w:ilvl="0" w:tplc="297CC388">
      <w:start w:val="1"/>
      <w:numFmt w:val="decimal"/>
      <w:lvlText w:val="%1."/>
      <w:lvlJc w:val="left"/>
      <w:pPr>
        <w:tabs>
          <w:tab w:val="num" w:pos="1260"/>
        </w:tabs>
        <w:ind w:left="1260" w:hanging="360"/>
      </w:pPr>
      <w:rPr>
        <w:b/>
        <w:bCs/>
      </w:rPr>
    </w:lvl>
    <w:lvl w:ilvl="1" w:tplc="040C0019" w:tentative="1">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13">
    <w:nsid w:val="4D852DBC"/>
    <w:multiLevelType w:val="hybridMultilevel"/>
    <w:tmpl w:val="FC4EDDFA"/>
    <w:lvl w:ilvl="0" w:tplc="27C4EA1C">
      <w:start w:val="1"/>
      <w:numFmt w:val="decimal"/>
      <w:lvlText w:val="%1-"/>
      <w:lvlJc w:val="left"/>
      <w:pPr>
        <w:tabs>
          <w:tab w:val="num" w:pos="900"/>
        </w:tabs>
        <w:ind w:left="9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554B7261"/>
    <w:multiLevelType w:val="hybridMultilevel"/>
    <w:tmpl w:val="9842A438"/>
    <w:lvl w:ilvl="0" w:tplc="7FB81FA0">
      <w:numFmt w:val="bullet"/>
      <w:lvlText w:val=""/>
      <w:lvlJc w:val="left"/>
      <w:pPr>
        <w:tabs>
          <w:tab w:val="num" w:pos="1305"/>
        </w:tabs>
        <w:ind w:left="1305" w:hanging="765"/>
      </w:pPr>
      <w:rPr>
        <w:rFonts w:ascii="Symbol" w:eastAsia="Times New Roman" w:hAnsi="Symbol"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5">
    <w:nsid w:val="57BB6D7A"/>
    <w:multiLevelType w:val="hybridMultilevel"/>
    <w:tmpl w:val="06A078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E4A096A"/>
    <w:multiLevelType w:val="hybridMultilevel"/>
    <w:tmpl w:val="79841ADC"/>
    <w:lvl w:ilvl="0" w:tplc="A6EC1630">
      <w:numFmt w:val="bullet"/>
      <w:lvlText w:val="-"/>
      <w:lvlJc w:val="left"/>
      <w:pPr>
        <w:tabs>
          <w:tab w:val="num" w:pos="900"/>
        </w:tabs>
        <w:ind w:left="900" w:hanging="360"/>
      </w:pPr>
      <w:rPr>
        <w:rFonts w:ascii="Times New Roman" w:eastAsia="Times New Roman" w:hAnsi="Times New Roman" w:cs="Times New Roman" w:hint="default"/>
      </w:rPr>
    </w:lvl>
    <w:lvl w:ilvl="1" w:tplc="040C0001">
      <w:start w:val="1"/>
      <w:numFmt w:val="bullet"/>
      <w:lvlText w:val=""/>
      <w:lvlJc w:val="left"/>
      <w:pPr>
        <w:tabs>
          <w:tab w:val="num" w:pos="1620"/>
        </w:tabs>
        <w:ind w:left="1620" w:hanging="360"/>
      </w:pPr>
      <w:rPr>
        <w:rFonts w:ascii="Symbol" w:hAnsi="Symbol"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7">
    <w:nsid w:val="642A721D"/>
    <w:multiLevelType w:val="hybridMultilevel"/>
    <w:tmpl w:val="B7B8ABB0"/>
    <w:lvl w:ilvl="0" w:tplc="E86AB1FC">
      <w:start w:val="1"/>
      <w:numFmt w:val="decimal"/>
      <w:lvlText w:val="%1."/>
      <w:lvlJc w:val="left"/>
      <w:pPr>
        <w:tabs>
          <w:tab w:val="num" w:pos="1380"/>
        </w:tabs>
        <w:ind w:left="1380" w:hanging="840"/>
      </w:pPr>
      <w:rPr>
        <w:rFonts w:hint="default"/>
        <w:b/>
      </w:rPr>
    </w:lvl>
    <w:lvl w:ilvl="1" w:tplc="040C0001">
      <w:start w:val="1"/>
      <w:numFmt w:val="bullet"/>
      <w:lvlText w:val=""/>
      <w:lvlJc w:val="left"/>
      <w:pPr>
        <w:tabs>
          <w:tab w:val="num" w:pos="1620"/>
        </w:tabs>
        <w:ind w:left="1620" w:hanging="360"/>
      </w:pPr>
      <w:rPr>
        <w:rFonts w:ascii="Symbol" w:hAnsi="Symbol" w:hint="default"/>
      </w:r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8">
    <w:nsid w:val="6B0F70DB"/>
    <w:multiLevelType w:val="hybridMultilevel"/>
    <w:tmpl w:val="CA0A8982"/>
    <w:lvl w:ilvl="0" w:tplc="799481FA">
      <w:start w:val="1"/>
      <w:numFmt w:val="decimal"/>
      <w:lvlText w:val="%1."/>
      <w:lvlJc w:val="left"/>
      <w:pPr>
        <w:tabs>
          <w:tab w:val="num" w:pos="735"/>
        </w:tabs>
        <w:ind w:left="735" w:hanging="375"/>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6F9C7374"/>
    <w:multiLevelType w:val="hybridMultilevel"/>
    <w:tmpl w:val="0FFCB1F4"/>
    <w:lvl w:ilvl="0" w:tplc="F4F891C4">
      <w:start w:val="1"/>
      <w:numFmt w:val="decimal"/>
      <w:lvlText w:val="%1."/>
      <w:lvlJc w:val="left"/>
      <w:pPr>
        <w:tabs>
          <w:tab w:val="num" w:pos="360"/>
        </w:tabs>
        <w:ind w:left="-349" w:firstLine="709"/>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6FE56A50"/>
    <w:multiLevelType w:val="hybridMultilevel"/>
    <w:tmpl w:val="BFCEBE5A"/>
    <w:lvl w:ilvl="0" w:tplc="FBFA442C">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1">
    <w:nsid w:val="79975E3E"/>
    <w:multiLevelType w:val="hybridMultilevel"/>
    <w:tmpl w:val="938246D4"/>
    <w:lvl w:ilvl="0" w:tplc="76204EDA">
      <w:start w:val="1"/>
      <w:numFmt w:val="decimal"/>
      <w:lvlText w:val="%1."/>
      <w:lvlJc w:val="left"/>
      <w:pPr>
        <w:tabs>
          <w:tab w:val="num" w:pos="765"/>
        </w:tabs>
        <w:ind w:left="765" w:hanging="4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7CC865E8"/>
    <w:multiLevelType w:val="hybridMultilevel"/>
    <w:tmpl w:val="93D8596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D4C31F3"/>
    <w:multiLevelType w:val="hybridMultilevel"/>
    <w:tmpl w:val="E6DAF71A"/>
    <w:lvl w:ilvl="0" w:tplc="040C0001">
      <w:start w:val="1"/>
      <w:numFmt w:val="bullet"/>
      <w:lvlText w:val=""/>
      <w:lvlJc w:val="left"/>
      <w:pPr>
        <w:tabs>
          <w:tab w:val="num" w:pos="1080"/>
        </w:tabs>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7F757AC4"/>
    <w:multiLevelType w:val="hybridMultilevel"/>
    <w:tmpl w:val="83B2E448"/>
    <w:lvl w:ilvl="0" w:tplc="2FB45398">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num w:numId="1">
    <w:abstractNumId w:val="3"/>
  </w:num>
  <w:num w:numId="2">
    <w:abstractNumId w:val="15"/>
  </w:num>
  <w:num w:numId="3">
    <w:abstractNumId w:val="4"/>
  </w:num>
  <w:num w:numId="4">
    <w:abstractNumId w:val="0"/>
  </w:num>
  <w:num w:numId="5">
    <w:abstractNumId w:val="2"/>
  </w:num>
  <w:num w:numId="6">
    <w:abstractNumId w:val="19"/>
  </w:num>
  <w:num w:numId="7">
    <w:abstractNumId w:val="9"/>
  </w:num>
  <w:num w:numId="8">
    <w:abstractNumId w:val="7"/>
  </w:num>
  <w:num w:numId="9">
    <w:abstractNumId w:val="11"/>
  </w:num>
  <w:num w:numId="10">
    <w:abstractNumId w:val="2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6"/>
  </w:num>
  <w:num w:numId="14">
    <w:abstractNumId w:val="14"/>
  </w:num>
  <w:num w:numId="15">
    <w:abstractNumId w:val="21"/>
  </w:num>
  <w:num w:numId="16">
    <w:abstractNumId w:val="18"/>
  </w:num>
  <w:num w:numId="17">
    <w:abstractNumId w:val="6"/>
  </w:num>
  <w:num w:numId="18">
    <w:abstractNumId w:val="17"/>
  </w:num>
  <w:num w:numId="19">
    <w:abstractNumId w:val="8"/>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10"/>
  </w:num>
  <w:num w:numId="26">
    <w:abstractNumId w:val="2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characterSpacingControl w:val="doNotCompress"/>
  <w:footnotePr>
    <w:footnote w:id="0"/>
    <w:footnote w:id="1"/>
  </w:footnotePr>
  <w:endnotePr>
    <w:endnote w:id="0"/>
    <w:endnote w:id="1"/>
  </w:endnotePr>
  <w:compat/>
  <w:rsids>
    <w:rsidRoot w:val="00752096"/>
    <w:rsid w:val="0000269A"/>
    <w:rsid w:val="00002924"/>
    <w:rsid w:val="00011188"/>
    <w:rsid w:val="00054192"/>
    <w:rsid w:val="0005645F"/>
    <w:rsid w:val="0007038A"/>
    <w:rsid w:val="000707D7"/>
    <w:rsid w:val="0007483B"/>
    <w:rsid w:val="00077469"/>
    <w:rsid w:val="00077B4B"/>
    <w:rsid w:val="00080051"/>
    <w:rsid w:val="000856B4"/>
    <w:rsid w:val="00096573"/>
    <w:rsid w:val="000976EA"/>
    <w:rsid w:val="000A5C9F"/>
    <w:rsid w:val="000B258D"/>
    <w:rsid w:val="000B46EB"/>
    <w:rsid w:val="000C673D"/>
    <w:rsid w:val="000D4CF9"/>
    <w:rsid w:val="000F1B4B"/>
    <w:rsid w:val="00107D97"/>
    <w:rsid w:val="00116154"/>
    <w:rsid w:val="00122248"/>
    <w:rsid w:val="00132E96"/>
    <w:rsid w:val="00134632"/>
    <w:rsid w:val="00141D51"/>
    <w:rsid w:val="00142134"/>
    <w:rsid w:val="00143B15"/>
    <w:rsid w:val="001444C8"/>
    <w:rsid w:val="00145CD9"/>
    <w:rsid w:val="00157465"/>
    <w:rsid w:val="00174535"/>
    <w:rsid w:val="00180C7E"/>
    <w:rsid w:val="001A61BD"/>
    <w:rsid w:val="001C4B7D"/>
    <w:rsid w:val="001D4893"/>
    <w:rsid w:val="001E7269"/>
    <w:rsid w:val="001F73BB"/>
    <w:rsid w:val="0020511E"/>
    <w:rsid w:val="00206BC9"/>
    <w:rsid w:val="002316EA"/>
    <w:rsid w:val="002375A5"/>
    <w:rsid w:val="00253367"/>
    <w:rsid w:val="002534F7"/>
    <w:rsid w:val="00262690"/>
    <w:rsid w:val="0027035F"/>
    <w:rsid w:val="00274418"/>
    <w:rsid w:val="00295EBD"/>
    <w:rsid w:val="002B3D30"/>
    <w:rsid w:val="002B51FE"/>
    <w:rsid w:val="002C3C87"/>
    <w:rsid w:val="002C6D40"/>
    <w:rsid w:val="002D1003"/>
    <w:rsid w:val="002F20DC"/>
    <w:rsid w:val="003106F0"/>
    <w:rsid w:val="003168CF"/>
    <w:rsid w:val="003257A5"/>
    <w:rsid w:val="003355ED"/>
    <w:rsid w:val="003463FF"/>
    <w:rsid w:val="00351319"/>
    <w:rsid w:val="003667DD"/>
    <w:rsid w:val="00370410"/>
    <w:rsid w:val="003828DC"/>
    <w:rsid w:val="0038407F"/>
    <w:rsid w:val="00384E84"/>
    <w:rsid w:val="003862BD"/>
    <w:rsid w:val="00396C02"/>
    <w:rsid w:val="003A0E5D"/>
    <w:rsid w:val="003B7D11"/>
    <w:rsid w:val="003C092D"/>
    <w:rsid w:val="003C6F19"/>
    <w:rsid w:val="003C7F54"/>
    <w:rsid w:val="003D41C5"/>
    <w:rsid w:val="003E71CD"/>
    <w:rsid w:val="004058AA"/>
    <w:rsid w:val="004105E0"/>
    <w:rsid w:val="004202C4"/>
    <w:rsid w:val="00430EDA"/>
    <w:rsid w:val="00431D6B"/>
    <w:rsid w:val="0043375E"/>
    <w:rsid w:val="004357F2"/>
    <w:rsid w:val="00436F59"/>
    <w:rsid w:val="00443533"/>
    <w:rsid w:val="004436D8"/>
    <w:rsid w:val="00445F29"/>
    <w:rsid w:val="00445FDC"/>
    <w:rsid w:val="004534BE"/>
    <w:rsid w:val="00453AB7"/>
    <w:rsid w:val="0046164C"/>
    <w:rsid w:val="004661B3"/>
    <w:rsid w:val="00467209"/>
    <w:rsid w:val="00472D8F"/>
    <w:rsid w:val="004758A6"/>
    <w:rsid w:val="00475ED5"/>
    <w:rsid w:val="004829BA"/>
    <w:rsid w:val="0048343A"/>
    <w:rsid w:val="004A1350"/>
    <w:rsid w:val="004A31C9"/>
    <w:rsid w:val="004A3C63"/>
    <w:rsid w:val="004A3D12"/>
    <w:rsid w:val="004C0ED5"/>
    <w:rsid w:val="004C4B54"/>
    <w:rsid w:val="004D78D7"/>
    <w:rsid w:val="004E258D"/>
    <w:rsid w:val="005019D8"/>
    <w:rsid w:val="00505346"/>
    <w:rsid w:val="005153B0"/>
    <w:rsid w:val="00521255"/>
    <w:rsid w:val="005279E5"/>
    <w:rsid w:val="00542B1E"/>
    <w:rsid w:val="00567C46"/>
    <w:rsid w:val="00583158"/>
    <w:rsid w:val="0059354F"/>
    <w:rsid w:val="00594320"/>
    <w:rsid w:val="00594BFE"/>
    <w:rsid w:val="005A4D60"/>
    <w:rsid w:val="005C5837"/>
    <w:rsid w:val="005D143F"/>
    <w:rsid w:val="005F2EE3"/>
    <w:rsid w:val="005F406D"/>
    <w:rsid w:val="005F6E8B"/>
    <w:rsid w:val="006104E6"/>
    <w:rsid w:val="006172D8"/>
    <w:rsid w:val="00631B5C"/>
    <w:rsid w:val="00635450"/>
    <w:rsid w:val="00644DF4"/>
    <w:rsid w:val="00653884"/>
    <w:rsid w:val="00655736"/>
    <w:rsid w:val="0066370B"/>
    <w:rsid w:val="00663809"/>
    <w:rsid w:val="006753D6"/>
    <w:rsid w:val="0068023D"/>
    <w:rsid w:val="0068195F"/>
    <w:rsid w:val="00696368"/>
    <w:rsid w:val="00697BC4"/>
    <w:rsid w:val="006A2158"/>
    <w:rsid w:val="006B59D7"/>
    <w:rsid w:val="006D20B7"/>
    <w:rsid w:val="006D6043"/>
    <w:rsid w:val="006E43C6"/>
    <w:rsid w:val="006F0D22"/>
    <w:rsid w:val="006F1DD1"/>
    <w:rsid w:val="006F2E16"/>
    <w:rsid w:val="00720DDC"/>
    <w:rsid w:val="00721002"/>
    <w:rsid w:val="007279E9"/>
    <w:rsid w:val="007306DE"/>
    <w:rsid w:val="007309BB"/>
    <w:rsid w:val="00731C37"/>
    <w:rsid w:val="00733F60"/>
    <w:rsid w:val="0073656E"/>
    <w:rsid w:val="007436EC"/>
    <w:rsid w:val="00745E4F"/>
    <w:rsid w:val="00750A91"/>
    <w:rsid w:val="00752096"/>
    <w:rsid w:val="00767AFF"/>
    <w:rsid w:val="00780769"/>
    <w:rsid w:val="00785C7C"/>
    <w:rsid w:val="007865F4"/>
    <w:rsid w:val="00791D54"/>
    <w:rsid w:val="007A2591"/>
    <w:rsid w:val="007A65FE"/>
    <w:rsid w:val="007A6FE0"/>
    <w:rsid w:val="007B35ED"/>
    <w:rsid w:val="007B4CAE"/>
    <w:rsid w:val="007B72B8"/>
    <w:rsid w:val="007C520F"/>
    <w:rsid w:val="007C70F7"/>
    <w:rsid w:val="007E3DCE"/>
    <w:rsid w:val="007F42F1"/>
    <w:rsid w:val="008164AE"/>
    <w:rsid w:val="00823206"/>
    <w:rsid w:val="00826147"/>
    <w:rsid w:val="00827DDC"/>
    <w:rsid w:val="008342B7"/>
    <w:rsid w:val="008452F2"/>
    <w:rsid w:val="00856D46"/>
    <w:rsid w:val="008612E0"/>
    <w:rsid w:val="00863B52"/>
    <w:rsid w:val="0087467C"/>
    <w:rsid w:val="00882EC0"/>
    <w:rsid w:val="00891FC9"/>
    <w:rsid w:val="00894BA7"/>
    <w:rsid w:val="00897491"/>
    <w:rsid w:val="008B01B8"/>
    <w:rsid w:val="008B45B1"/>
    <w:rsid w:val="008C38AB"/>
    <w:rsid w:val="008E0B8B"/>
    <w:rsid w:val="008E41E7"/>
    <w:rsid w:val="008F3C5A"/>
    <w:rsid w:val="00910C8E"/>
    <w:rsid w:val="00956144"/>
    <w:rsid w:val="009B4E5B"/>
    <w:rsid w:val="009C26A8"/>
    <w:rsid w:val="009F5C6B"/>
    <w:rsid w:val="00A1250F"/>
    <w:rsid w:val="00A17521"/>
    <w:rsid w:val="00A33638"/>
    <w:rsid w:val="00A4647D"/>
    <w:rsid w:val="00A50CF7"/>
    <w:rsid w:val="00A715D9"/>
    <w:rsid w:val="00A72886"/>
    <w:rsid w:val="00A73993"/>
    <w:rsid w:val="00A809C9"/>
    <w:rsid w:val="00A93694"/>
    <w:rsid w:val="00AA0050"/>
    <w:rsid w:val="00AA2AB6"/>
    <w:rsid w:val="00AA2E1B"/>
    <w:rsid w:val="00AA4EF8"/>
    <w:rsid w:val="00AC2AB7"/>
    <w:rsid w:val="00AC4D04"/>
    <w:rsid w:val="00AD300A"/>
    <w:rsid w:val="00AE142F"/>
    <w:rsid w:val="00AF00C1"/>
    <w:rsid w:val="00B0302D"/>
    <w:rsid w:val="00B30115"/>
    <w:rsid w:val="00B3273E"/>
    <w:rsid w:val="00B32C02"/>
    <w:rsid w:val="00B37D58"/>
    <w:rsid w:val="00B53FC5"/>
    <w:rsid w:val="00B54976"/>
    <w:rsid w:val="00B60BBF"/>
    <w:rsid w:val="00B621F0"/>
    <w:rsid w:val="00B63559"/>
    <w:rsid w:val="00B870DB"/>
    <w:rsid w:val="00B94C06"/>
    <w:rsid w:val="00B95365"/>
    <w:rsid w:val="00B95C83"/>
    <w:rsid w:val="00B96739"/>
    <w:rsid w:val="00BA3D72"/>
    <w:rsid w:val="00BA52AB"/>
    <w:rsid w:val="00BA67FC"/>
    <w:rsid w:val="00BB4E46"/>
    <w:rsid w:val="00BC594B"/>
    <w:rsid w:val="00BD3985"/>
    <w:rsid w:val="00BD7EE1"/>
    <w:rsid w:val="00C12098"/>
    <w:rsid w:val="00C1649D"/>
    <w:rsid w:val="00C30235"/>
    <w:rsid w:val="00C41B90"/>
    <w:rsid w:val="00C41FB5"/>
    <w:rsid w:val="00C54435"/>
    <w:rsid w:val="00C6229A"/>
    <w:rsid w:val="00C72AAA"/>
    <w:rsid w:val="00C76A7F"/>
    <w:rsid w:val="00C837C6"/>
    <w:rsid w:val="00C8482D"/>
    <w:rsid w:val="00C85952"/>
    <w:rsid w:val="00C90264"/>
    <w:rsid w:val="00C94236"/>
    <w:rsid w:val="00C94785"/>
    <w:rsid w:val="00C94C1C"/>
    <w:rsid w:val="00CA49AD"/>
    <w:rsid w:val="00CA6071"/>
    <w:rsid w:val="00CA6FC6"/>
    <w:rsid w:val="00CA7953"/>
    <w:rsid w:val="00CC32E5"/>
    <w:rsid w:val="00CD13AC"/>
    <w:rsid w:val="00CD6FD6"/>
    <w:rsid w:val="00CE5D03"/>
    <w:rsid w:val="00CE6BC6"/>
    <w:rsid w:val="00CF525E"/>
    <w:rsid w:val="00CF5E2D"/>
    <w:rsid w:val="00D03D20"/>
    <w:rsid w:val="00D05BF4"/>
    <w:rsid w:val="00D06442"/>
    <w:rsid w:val="00D236D2"/>
    <w:rsid w:val="00D36ACF"/>
    <w:rsid w:val="00D60F50"/>
    <w:rsid w:val="00D622A1"/>
    <w:rsid w:val="00D6442F"/>
    <w:rsid w:val="00D71451"/>
    <w:rsid w:val="00D720D1"/>
    <w:rsid w:val="00DA297C"/>
    <w:rsid w:val="00DC71C6"/>
    <w:rsid w:val="00DD22E1"/>
    <w:rsid w:val="00DD3920"/>
    <w:rsid w:val="00DD43A5"/>
    <w:rsid w:val="00DD43EC"/>
    <w:rsid w:val="00DD48FD"/>
    <w:rsid w:val="00DF0CCE"/>
    <w:rsid w:val="00DF1BBD"/>
    <w:rsid w:val="00DF7A71"/>
    <w:rsid w:val="00E07423"/>
    <w:rsid w:val="00E17EB6"/>
    <w:rsid w:val="00E33990"/>
    <w:rsid w:val="00E3618A"/>
    <w:rsid w:val="00E44956"/>
    <w:rsid w:val="00E45998"/>
    <w:rsid w:val="00E4603C"/>
    <w:rsid w:val="00E549A1"/>
    <w:rsid w:val="00E60731"/>
    <w:rsid w:val="00E635D4"/>
    <w:rsid w:val="00E65267"/>
    <w:rsid w:val="00E711BF"/>
    <w:rsid w:val="00E80EC4"/>
    <w:rsid w:val="00E81901"/>
    <w:rsid w:val="00E81EA6"/>
    <w:rsid w:val="00E8699E"/>
    <w:rsid w:val="00EB1D4D"/>
    <w:rsid w:val="00EB2DC6"/>
    <w:rsid w:val="00EB4738"/>
    <w:rsid w:val="00EC325C"/>
    <w:rsid w:val="00F004FC"/>
    <w:rsid w:val="00F1228D"/>
    <w:rsid w:val="00F1746A"/>
    <w:rsid w:val="00F176AC"/>
    <w:rsid w:val="00F25668"/>
    <w:rsid w:val="00F34A37"/>
    <w:rsid w:val="00F52924"/>
    <w:rsid w:val="00F80495"/>
    <w:rsid w:val="00F84335"/>
    <w:rsid w:val="00F8463A"/>
    <w:rsid w:val="00FA5F29"/>
    <w:rsid w:val="00FC6B81"/>
    <w:rsid w:val="00FD1105"/>
    <w:rsid w:val="00FD7986"/>
    <w:rsid w:val="00FE2364"/>
    <w:rsid w:val="00FE3C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92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3C092D"/>
    <w:pPr>
      <w:tabs>
        <w:tab w:val="center" w:pos="4536"/>
        <w:tab w:val="right" w:pos="9072"/>
      </w:tabs>
    </w:pPr>
  </w:style>
  <w:style w:type="character" w:styleId="Numrodepage">
    <w:name w:val="page number"/>
    <w:basedOn w:val="Policepardfaut"/>
    <w:rsid w:val="003C092D"/>
  </w:style>
  <w:style w:type="paragraph" w:styleId="Retraitcorpsdetexte3">
    <w:name w:val="Body Text Indent 3"/>
    <w:basedOn w:val="Normal"/>
    <w:rsid w:val="003C092D"/>
    <w:pPr>
      <w:ind w:firstLine="540"/>
      <w:jc w:val="both"/>
    </w:pPr>
    <w:rPr>
      <w:sz w:val="28"/>
      <w:szCs w:val="28"/>
    </w:rPr>
  </w:style>
  <w:style w:type="paragraph" w:styleId="En-tte">
    <w:name w:val="header"/>
    <w:basedOn w:val="Normal"/>
    <w:link w:val="En-tteCar"/>
    <w:uiPriority w:val="99"/>
    <w:rsid w:val="003C092D"/>
    <w:pPr>
      <w:tabs>
        <w:tab w:val="center" w:pos="4536"/>
        <w:tab w:val="right" w:pos="9072"/>
      </w:tabs>
    </w:pPr>
  </w:style>
  <w:style w:type="paragraph" w:styleId="Corpsdetexte">
    <w:name w:val="Body Text"/>
    <w:basedOn w:val="Normal"/>
    <w:rsid w:val="003C092D"/>
    <w:pPr>
      <w:jc w:val="both"/>
    </w:pPr>
    <w:rPr>
      <w:sz w:val="28"/>
      <w:szCs w:val="28"/>
    </w:rPr>
  </w:style>
  <w:style w:type="table" w:styleId="Grilledutableau">
    <w:name w:val="Table Grid"/>
    <w:basedOn w:val="TableauNormal"/>
    <w:rsid w:val="008C38AB"/>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73993"/>
    <w:pPr>
      <w:ind w:left="720"/>
      <w:contextualSpacing/>
    </w:pPr>
  </w:style>
  <w:style w:type="character" w:customStyle="1" w:styleId="En-tteCar">
    <w:name w:val="En-tête Car"/>
    <w:basedOn w:val="Policepardfaut"/>
    <w:link w:val="En-tte"/>
    <w:uiPriority w:val="99"/>
    <w:rsid w:val="00A4647D"/>
    <w:rPr>
      <w:sz w:val="24"/>
      <w:szCs w:val="24"/>
    </w:rPr>
  </w:style>
</w:styles>
</file>

<file path=word/webSettings.xml><?xml version="1.0" encoding="utf-8"?>
<w:webSettings xmlns:r="http://schemas.openxmlformats.org/officeDocument/2006/relationships" xmlns:w="http://schemas.openxmlformats.org/wordprocessingml/2006/main">
  <w:divs>
    <w:div w:id="158823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973</Words>
  <Characters>5355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Ministère de l’enseignement supérieur</vt:lpstr>
    </vt:vector>
  </TitlesOfParts>
  <Company> </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l’enseignement supérieur</dc:title>
  <dc:subject/>
  <dc:creator> </dc:creator>
  <cp:keywords/>
  <cp:lastModifiedBy>.</cp:lastModifiedBy>
  <cp:revision>88</cp:revision>
  <cp:lastPrinted>2011-12-21T09:32:00Z</cp:lastPrinted>
  <dcterms:created xsi:type="dcterms:W3CDTF">2012-01-09T16:03:00Z</dcterms:created>
  <dcterms:modified xsi:type="dcterms:W3CDTF">2012-11-23T14:04:00Z</dcterms:modified>
</cp:coreProperties>
</file>