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4A" w:rsidRPr="007F0A4A" w:rsidRDefault="007F0A4A" w:rsidP="007F0A4A">
      <w:pPr>
        <w:shd w:val="clear" w:color="auto" w:fill="EEEEEE"/>
        <w:spacing w:before="105" w:after="105" w:line="240" w:lineRule="auto"/>
        <w:ind w:left="105" w:right="10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La Société Tunisienne Interprofessionnelle pour la Compensation et le Dépôt des Valeurs Mobilières</w:t>
      </w:r>
      <w:r w:rsidRPr="007F0A4A">
        <w:rPr>
          <w:rFonts w:ascii="Arial" w:eastAsia="Times New Roman" w:hAnsi="Arial" w:cs="Arial"/>
          <w:color w:val="4A4A4A"/>
          <w:sz w:val="17"/>
          <w:lang w:eastAsia="fr-FR"/>
        </w:rPr>
        <w:t> </w:t>
      </w:r>
      <w:r w:rsidRPr="007F0A4A">
        <w:rPr>
          <w:rFonts w:ascii="Arial" w:eastAsia="Times New Roman" w:hAnsi="Arial" w:cs="Arial"/>
          <w:b/>
          <w:bCs/>
          <w:color w:val="393939"/>
          <w:sz w:val="17"/>
          <w:lang w:eastAsia="fr-FR"/>
        </w:rPr>
        <w:t>STICODEVAM</w:t>
      </w:r>
      <w:r w:rsidRPr="007F0A4A">
        <w:rPr>
          <w:rFonts w:ascii="Arial" w:eastAsia="Times New Roman" w:hAnsi="Arial" w:cs="Arial"/>
          <w:color w:val="4A4A4A"/>
          <w:sz w:val="17"/>
          <w:lang w:eastAsia="fr-FR"/>
        </w:rPr>
        <w:t> </w:t>
      </w:r>
      <w:r w:rsidRPr="007F0A4A">
        <w:rPr>
          <w:rFonts w:ascii="Arial" w:eastAsia="Times New Roman" w:hAnsi="Arial" w:cs="Arial"/>
          <w:color w:val="4A4A4A"/>
          <w:sz w:val="17"/>
          <w:szCs w:val="17"/>
          <w:lang w:eastAsia="fr-FR"/>
        </w:rPr>
        <w:t>est le «Dépositaire Central des titres (DCT)». Elle est l’une des entités pilier des infrastructures du marché des titres.</w:t>
      </w:r>
      <w:r w:rsidRPr="007F0A4A">
        <w:rPr>
          <w:rFonts w:ascii="Arial" w:eastAsia="Times New Roman" w:hAnsi="Arial" w:cs="Arial"/>
          <w:color w:val="4A4A4A"/>
          <w:sz w:val="17"/>
          <w:szCs w:val="17"/>
          <w:lang w:eastAsia="fr-FR"/>
        </w:rPr>
        <w:br/>
      </w:r>
      <w:r w:rsidRPr="007F0A4A">
        <w:rPr>
          <w:rFonts w:ascii="Arial" w:eastAsia="Times New Roman" w:hAnsi="Arial" w:cs="Arial"/>
          <w:color w:val="4A4A4A"/>
          <w:sz w:val="17"/>
          <w:szCs w:val="17"/>
          <w:lang w:eastAsia="fr-FR"/>
        </w:rPr>
        <w:br/>
        <w:t>La fonction primordiale de la</w:t>
      </w:r>
      <w:r w:rsidRPr="007F0A4A">
        <w:rPr>
          <w:rFonts w:ascii="Arial" w:eastAsia="Times New Roman" w:hAnsi="Arial" w:cs="Arial"/>
          <w:color w:val="4A4A4A"/>
          <w:sz w:val="17"/>
          <w:lang w:eastAsia="fr-FR"/>
        </w:rPr>
        <w:t> </w:t>
      </w:r>
      <w:r w:rsidRPr="007F0A4A">
        <w:rPr>
          <w:rFonts w:ascii="Arial" w:eastAsia="Times New Roman" w:hAnsi="Arial" w:cs="Arial"/>
          <w:b/>
          <w:bCs/>
          <w:color w:val="393939"/>
          <w:sz w:val="17"/>
          <w:lang w:eastAsia="fr-FR"/>
        </w:rPr>
        <w:t>STICODEVAM</w:t>
      </w:r>
      <w:r w:rsidRPr="007F0A4A">
        <w:rPr>
          <w:rFonts w:ascii="Arial" w:eastAsia="Times New Roman" w:hAnsi="Arial" w:cs="Arial"/>
          <w:color w:val="4A4A4A"/>
          <w:sz w:val="17"/>
          <w:lang w:eastAsia="fr-FR"/>
        </w:rPr>
        <w:t> </w:t>
      </w:r>
      <w:r w:rsidRPr="007F0A4A">
        <w:rPr>
          <w:rFonts w:ascii="Arial" w:eastAsia="Times New Roman" w:hAnsi="Arial" w:cs="Arial"/>
          <w:color w:val="4A4A4A"/>
          <w:sz w:val="17"/>
          <w:szCs w:val="17"/>
          <w:lang w:eastAsia="fr-FR"/>
        </w:rPr>
        <w:t>consiste à enregistrer l’ensemble des titres émis et les opérations effectuées sur ces titres pour les valeurs mobilières admises à ses opérations. Elle s’assure, ainsi, à tout moment que le nombre des titres émis correspond à la somme du nombre de titres présents sur les comptes des teneurs de comptes conservateurs. De plus, Elle assure une activité de règlement/livraison des flux de transactions et de tous autres mouvements affectant les comptes titres des valeurs mobilières admises à ses opérations.</w:t>
      </w:r>
      <w:r w:rsidRPr="007F0A4A">
        <w:rPr>
          <w:rFonts w:ascii="Arial" w:eastAsia="Times New Roman" w:hAnsi="Arial" w:cs="Arial"/>
          <w:color w:val="4A4A4A"/>
          <w:sz w:val="17"/>
          <w:szCs w:val="17"/>
          <w:lang w:eastAsia="fr-FR"/>
        </w:rPr>
        <w:br/>
      </w:r>
      <w:r w:rsidRPr="007F0A4A">
        <w:rPr>
          <w:rFonts w:ascii="Arial" w:eastAsia="Times New Roman" w:hAnsi="Arial" w:cs="Arial"/>
          <w:color w:val="4A4A4A"/>
          <w:sz w:val="17"/>
          <w:szCs w:val="17"/>
          <w:lang w:eastAsia="fr-FR"/>
        </w:rPr>
        <w:br/>
        <w:t>La</w:t>
      </w:r>
      <w:r w:rsidRPr="007F0A4A">
        <w:rPr>
          <w:rFonts w:ascii="Arial" w:eastAsia="Times New Roman" w:hAnsi="Arial" w:cs="Arial"/>
          <w:color w:val="4A4A4A"/>
          <w:sz w:val="17"/>
          <w:lang w:eastAsia="fr-FR"/>
        </w:rPr>
        <w:t> </w:t>
      </w:r>
      <w:r w:rsidRPr="007F0A4A">
        <w:rPr>
          <w:rFonts w:ascii="Arial" w:eastAsia="Times New Roman" w:hAnsi="Arial" w:cs="Arial"/>
          <w:b/>
          <w:bCs/>
          <w:color w:val="393939"/>
          <w:sz w:val="17"/>
          <w:lang w:eastAsia="fr-FR"/>
        </w:rPr>
        <w:t>STICODEVAM</w:t>
      </w:r>
      <w:r w:rsidRPr="007F0A4A">
        <w:rPr>
          <w:rFonts w:ascii="Arial" w:eastAsia="Times New Roman" w:hAnsi="Arial" w:cs="Arial"/>
          <w:color w:val="4A4A4A"/>
          <w:sz w:val="17"/>
          <w:szCs w:val="17"/>
          <w:lang w:eastAsia="fr-FR"/>
        </w:rPr>
        <w:t>, dépositaire central des Titres en Tunisie, a été créée, juridiquement, le 28 décembre 1993. La loi 94/117 du 14 novembre 1994 (articles 77-80) réorganisant le marché financier Tunisien est venue confirmer l’existence légale de la</w:t>
      </w:r>
      <w:r w:rsidRPr="007F0A4A">
        <w:rPr>
          <w:rFonts w:ascii="Arial" w:eastAsia="Times New Roman" w:hAnsi="Arial" w:cs="Arial"/>
          <w:color w:val="4A4A4A"/>
          <w:sz w:val="17"/>
          <w:lang w:eastAsia="fr-FR"/>
        </w:rPr>
        <w:t> </w:t>
      </w:r>
      <w:proofErr w:type="spellStart"/>
      <w:r w:rsidRPr="007F0A4A">
        <w:rPr>
          <w:rFonts w:ascii="Arial" w:eastAsia="Times New Roman" w:hAnsi="Arial" w:cs="Arial"/>
          <w:b/>
          <w:bCs/>
          <w:color w:val="393939"/>
          <w:sz w:val="17"/>
          <w:lang w:eastAsia="fr-FR"/>
        </w:rPr>
        <w:t>STICODEVAM</w:t>
      </w:r>
      <w:r w:rsidRPr="007F0A4A">
        <w:rPr>
          <w:rFonts w:ascii="Arial" w:eastAsia="Times New Roman" w:hAnsi="Arial" w:cs="Arial"/>
          <w:color w:val="4A4A4A"/>
          <w:sz w:val="17"/>
          <w:szCs w:val="17"/>
          <w:lang w:eastAsia="fr-FR"/>
        </w:rPr>
        <w:t>et</w:t>
      </w:r>
      <w:proofErr w:type="spellEnd"/>
      <w:r w:rsidRPr="007F0A4A">
        <w:rPr>
          <w:rFonts w:ascii="Arial" w:eastAsia="Times New Roman" w:hAnsi="Arial" w:cs="Arial"/>
          <w:color w:val="4A4A4A"/>
          <w:sz w:val="17"/>
          <w:szCs w:val="17"/>
          <w:lang w:eastAsia="fr-FR"/>
        </w:rPr>
        <w:t xml:space="preserve"> définir son champ d’action. Ses</w:t>
      </w:r>
      <w:r w:rsidRPr="007F0A4A">
        <w:rPr>
          <w:rFonts w:ascii="Arial" w:eastAsia="Times New Roman" w:hAnsi="Arial" w:cs="Arial"/>
          <w:color w:val="4A4A4A"/>
          <w:sz w:val="17"/>
          <w:lang w:eastAsia="fr-FR"/>
        </w:rPr>
        <w:t> </w:t>
      </w:r>
      <w:hyperlink r:id="rId5" w:history="1">
        <w:r w:rsidRPr="007F0A4A">
          <w:rPr>
            <w:rFonts w:ascii="Arial" w:eastAsia="Times New Roman" w:hAnsi="Arial" w:cs="Arial"/>
            <w:color w:val="FF5400"/>
            <w:sz w:val="17"/>
            <w:u w:val="single"/>
            <w:lang w:eastAsia="fr-FR"/>
          </w:rPr>
          <w:t>actionnaires</w:t>
        </w:r>
      </w:hyperlink>
      <w:r w:rsidRPr="007F0A4A">
        <w:rPr>
          <w:rFonts w:ascii="Arial" w:eastAsia="Times New Roman" w:hAnsi="Arial" w:cs="Arial"/>
          <w:color w:val="4A4A4A"/>
          <w:sz w:val="17"/>
          <w:lang w:eastAsia="fr-FR"/>
        </w:rPr>
        <w:t> </w:t>
      </w:r>
      <w:r w:rsidRPr="007F0A4A">
        <w:rPr>
          <w:rFonts w:ascii="Arial" w:eastAsia="Times New Roman" w:hAnsi="Arial" w:cs="Arial"/>
          <w:color w:val="4A4A4A"/>
          <w:sz w:val="17"/>
          <w:szCs w:val="17"/>
          <w:lang w:eastAsia="fr-FR"/>
        </w:rPr>
        <w:t>sont les intermédiaires en bourse et sept banques de la place.</w:t>
      </w:r>
    </w:p>
    <w:p w:rsidR="007F0A4A" w:rsidRPr="007F0A4A" w:rsidRDefault="007F0A4A" w:rsidP="007F0A4A">
      <w:pPr>
        <w:shd w:val="clear" w:color="auto" w:fill="EEEEEE"/>
        <w:spacing w:before="105" w:after="105" w:line="240" w:lineRule="auto"/>
        <w:ind w:left="105" w:right="10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 </w:t>
      </w:r>
    </w:p>
    <w:p w:rsidR="007F0A4A" w:rsidRPr="007F0A4A" w:rsidRDefault="007F0A4A" w:rsidP="007F0A4A">
      <w:pPr>
        <w:shd w:val="clear" w:color="auto" w:fill="EEEEEE"/>
        <w:spacing w:after="0" w:line="240" w:lineRule="auto"/>
        <w:jc w:val="both"/>
        <w:rPr>
          <w:rFonts w:ascii="Arial" w:eastAsia="Times New Roman" w:hAnsi="Arial" w:cs="Arial"/>
          <w:b/>
          <w:bCs/>
          <w:color w:val="FF5400"/>
          <w:sz w:val="17"/>
          <w:szCs w:val="17"/>
          <w:lang w:eastAsia="fr-FR"/>
        </w:rPr>
      </w:pPr>
      <w:r w:rsidRPr="007F0A4A">
        <w:rPr>
          <w:rFonts w:ascii="Arial" w:eastAsia="Times New Roman" w:hAnsi="Arial" w:cs="Arial"/>
          <w:b/>
          <w:bCs/>
          <w:color w:val="FF5400"/>
          <w:sz w:val="17"/>
          <w:szCs w:val="17"/>
          <w:lang w:eastAsia="fr-FR"/>
        </w:rPr>
        <w:t>Les missions</w:t>
      </w:r>
    </w:p>
    <w:p w:rsidR="007F0A4A" w:rsidRPr="007F0A4A" w:rsidRDefault="007F0A4A" w:rsidP="007F0A4A">
      <w:pPr>
        <w:shd w:val="clear" w:color="auto" w:fill="EEEEEE"/>
        <w:spacing w:after="0" w:line="240" w:lineRule="auto"/>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Les adhérents</w:t>
      </w:r>
    </w:p>
    <w:p w:rsidR="007F0A4A" w:rsidRPr="007F0A4A" w:rsidRDefault="007F0A4A" w:rsidP="007F0A4A">
      <w:pPr>
        <w:shd w:val="clear" w:color="auto" w:fill="EEEEEE"/>
        <w:spacing w:after="0" w:line="240" w:lineRule="auto"/>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Les valeurs prises en charge</w:t>
      </w:r>
    </w:p>
    <w:p w:rsidR="007F0A4A" w:rsidRPr="007F0A4A" w:rsidRDefault="007F0A4A" w:rsidP="007F0A4A">
      <w:pPr>
        <w:shd w:val="clear" w:color="auto" w:fill="EEEEEE"/>
        <w:spacing w:before="105" w:after="105" w:line="240" w:lineRule="auto"/>
        <w:ind w:left="120" w:right="10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Les missions principales de la STICODEVAM consistent, notamment, à :</w:t>
      </w:r>
    </w:p>
    <w:p w:rsidR="007F0A4A" w:rsidRPr="007F0A4A" w:rsidRDefault="007F0A4A" w:rsidP="007F0A4A">
      <w:pPr>
        <w:numPr>
          <w:ilvl w:val="0"/>
          <w:numId w:val="1"/>
        </w:numPr>
        <w:shd w:val="clear" w:color="auto" w:fill="EEEEEE"/>
        <w:spacing w:before="100" w:beforeAutospacing="1" w:after="100" w:afterAutospacing="1" w:line="240" w:lineRule="auto"/>
        <w:ind w:left="73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Assurer la conservation des valeurs mobilières prises en charge par circulation des titres de compte à compte d'une manière scripturale.</w:t>
      </w:r>
    </w:p>
    <w:p w:rsidR="007F0A4A" w:rsidRPr="007F0A4A" w:rsidRDefault="007F0A4A" w:rsidP="007F0A4A">
      <w:pPr>
        <w:numPr>
          <w:ilvl w:val="0"/>
          <w:numId w:val="1"/>
        </w:numPr>
        <w:shd w:val="clear" w:color="auto" w:fill="EEEEEE"/>
        <w:spacing w:before="100" w:beforeAutospacing="1" w:after="100" w:afterAutospacing="1" w:line="240" w:lineRule="auto"/>
        <w:ind w:left="73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Garantir que le nombre de titres composant chaque émission est égal, en permanence, à la somme des titres enregistrés aux comptes des teneurs de comptes.</w:t>
      </w:r>
    </w:p>
    <w:p w:rsidR="007F0A4A" w:rsidRPr="007F0A4A" w:rsidRDefault="007F0A4A" w:rsidP="007F0A4A">
      <w:pPr>
        <w:numPr>
          <w:ilvl w:val="0"/>
          <w:numId w:val="1"/>
        </w:numPr>
        <w:shd w:val="clear" w:color="auto" w:fill="EEEEEE"/>
        <w:spacing w:before="100" w:beforeAutospacing="1" w:after="100" w:afterAutospacing="1" w:line="240" w:lineRule="auto"/>
        <w:ind w:left="73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Administrer les comptes titres ouverts au nom des teneurs de comptes en gérant tous types d'opérations sur titres pouvant intervenir sur une valeur mobilière prise en charge.</w:t>
      </w:r>
    </w:p>
    <w:p w:rsidR="007F0A4A" w:rsidRPr="007F0A4A" w:rsidRDefault="007F0A4A" w:rsidP="007F0A4A">
      <w:pPr>
        <w:numPr>
          <w:ilvl w:val="0"/>
          <w:numId w:val="1"/>
        </w:numPr>
        <w:shd w:val="clear" w:color="auto" w:fill="EEEEEE"/>
        <w:spacing w:before="100" w:beforeAutospacing="1" w:after="100" w:afterAutospacing="1" w:line="240" w:lineRule="auto"/>
        <w:ind w:left="73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Codifier les valeurs mobilières selon une norme de codification internationale des valeurs mobilières. A cet effet, la STICODEVAM est reconnue en tant que "agence nationale de codification des valeurs mobilières".</w:t>
      </w:r>
    </w:p>
    <w:p w:rsidR="007F0A4A" w:rsidRPr="007F0A4A" w:rsidRDefault="007F0A4A" w:rsidP="007F0A4A">
      <w:pPr>
        <w:numPr>
          <w:ilvl w:val="0"/>
          <w:numId w:val="1"/>
        </w:numPr>
        <w:shd w:val="clear" w:color="auto" w:fill="EEEEEE"/>
        <w:spacing w:before="100" w:beforeAutospacing="1" w:after="100" w:afterAutospacing="1" w:line="240" w:lineRule="auto"/>
        <w:ind w:left="73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Garantir le dénouement des opérations dans le système de règlement/livraison de la STICODEVAM qui consiste en :</w:t>
      </w:r>
    </w:p>
    <w:p w:rsidR="007F0A4A" w:rsidRPr="007F0A4A" w:rsidRDefault="007F0A4A" w:rsidP="007F0A4A">
      <w:pPr>
        <w:numPr>
          <w:ilvl w:val="1"/>
          <w:numId w:val="1"/>
        </w:numPr>
        <w:shd w:val="clear" w:color="auto" w:fill="EEEEEE"/>
        <w:spacing w:before="100" w:beforeAutospacing="1" w:after="100" w:afterAutospacing="1" w:line="240" w:lineRule="auto"/>
        <w:ind w:left="145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La livraison des titres contre le paiement des espèces concomitant et connexe en s'assurant de la disponibilité des titres chez le vendeur et des espèces chez l'acheteur pour les opérations de type livraison contre paiement telles que les transactions boursières.</w:t>
      </w:r>
    </w:p>
    <w:p w:rsidR="007F0A4A" w:rsidRPr="007F0A4A" w:rsidRDefault="007F0A4A" w:rsidP="007F0A4A">
      <w:pPr>
        <w:numPr>
          <w:ilvl w:val="1"/>
          <w:numId w:val="1"/>
        </w:numPr>
        <w:shd w:val="clear" w:color="auto" w:fill="EEEEEE"/>
        <w:spacing w:before="100" w:beforeAutospacing="1" w:after="100" w:afterAutospacing="1" w:line="240" w:lineRule="auto"/>
        <w:ind w:left="145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La livraison de titres en s'assurant que le cédant dispose de la provision de titres pour les opérations de type franco c'est-à-dire sans mouvement de fonds telles que les transferts de portefeuille titres entre teneurs de comptes.</w:t>
      </w:r>
    </w:p>
    <w:p w:rsidR="007F0A4A" w:rsidRPr="007F0A4A" w:rsidRDefault="007F0A4A" w:rsidP="007F0A4A">
      <w:pPr>
        <w:numPr>
          <w:ilvl w:val="0"/>
          <w:numId w:val="1"/>
        </w:numPr>
        <w:shd w:val="clear" w:color="auto" w:fill="EEEEEE"/>
        <w:spacing w:before="100" w:beforeAutospacing="1" w:after="100" w:afterAutospacing="1" w:line="240" w:lineRule="auto"/>
        <w:ind w:left="73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Compenser les espèces relatives au dénouement des transactions : sur les comptes espèces des banques compensatrices ouverts auprès de la Banque Centrale de Tunisie.</w:t>
      </w:r>
    </w:p>
    <w:p w:rsidR="007F0A4A" w:rsidRPr="007F0A4A" w:rsidRDefault="007F0A4A" w:rsidP="007F0A4A">
      <w:pPr>
        <w:numPr>
          <w:ilvl w:val="0"/>
          <w:numId w:val="1"/>
        </w:numPr>
        <w:shd w:val="clear" w:color="auto" w:fill="EEEEEE"/>
        <w:spacing w:before="100" w:beforeAutospacing="1" w:after="100" w:afterAutospacing="1" w:line="240" w:lineRule="auto"/>
        <w:ind w:left="73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Participer au Système de Gros Montants (SGMT) géré par la Banque Centrale de Tunisie (envoi de la compensation espèces et gestion des pensions livrées Intra-journalières)</w:t>
      </w:r>
    </w:p>
    <w:p w:rsidR="007F0A4A" w:rsidRPr="007F0A4A" w:rsidRDefault="007F0A4A" w:rsidP="007F0A4A">
      <w:pPr>
        <w:numPr>
          <w:ilvl w:val="0"/>
          <w:numId w:val="1"/>
        </w:numPr>
        <w:shd w:val="clear" w:color="auto" w:fill="EEEEEE"/>
        <w:spacing w:before="100" w:beforeAutospacing="1" w:after="100" w:afterAutospacing="1" w:line="240" w:lineRule="auto"/>
        <w:ind w:left="73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Gérer la dette de l'État en assurant :</w:t>
      </w:r>
    </w:p>
    <w:p w:rsidR="007F0A4A" w:rsidRPr="007F0A4A" w:rsidRDefault="007F0A4A" w:rsidP="007F0A4A">
      <w:pPr>
        <w:numPr>
          <w:ilvl w:val="1"/>
          <w:numId w:val="1"/>
        </w:numPr>
        <w:shd w:val="clear" w:color="auto" w:fill="EEEEEE"/>
        <w:spacing w:before="100" w:beforeAutospacing="1" w:after="100" w:afterAutospacing="1" w:line="240" w:lineRule="auto"/>
        <w:ind w:left="145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 xml:space="preserve">Le dénouement des adjudications des Bons du Trésor Assimilables (BTA et </w:t>
      </w:r>
      <w:proofErr w:type="spellStart"/>
      <w:r w:rsidRPr="007F0A4A">
        <w:rPr>
          <w:rFonts w:ascii="Arial" w:eastAsia="Times New Roman" w:hAnsi="Arial" w:cs="Arial"/>
          <w:color w:val="4A4A4A"/>
          <w:sz w:val="17"/>
          <w:szCs w:val="17"/>
          <w:lang w:eastAsia="fr-FR"/>
        </w:rPr>
        <w:t>BTz</w:t>
      </w:r>
      <w:proofErr w:type="spellEnd"/>
      <w:r w:rsidRPr="007F0A4A">
        <w:rPr>
          <w:rFonts w:ascii="Arial" w:eastAsia="Times New Roman" w:hAnsi="Arial" w:cs="Arial"/>
          <w:color w:val="4A4A4A"/>
          <w:sz w:val="17"/>
          <w:szCs w:val="17"/>
          <w:lang w:eastAsia="fr-FR"/>
        </w:rPr>
        <w:t>) et les Bons du Trésor à Court terme (BTC);</w:t>
      </w:r>
    </w:p>
    <w:p w:rsidR="007F0A4A" w:rsidRPr="007F0A4A" w:rsidRDefault="007F0A4A" w:rsidP="007F0A4A">
      <w:pPr>
        <w:numPr>
          <w:ilvl w:val="1"/>
          <w:numId w:val="1"/>
        </w:numPr>
        <w:shd w:val="clear" w:color="auto" w:fill="EEEEEE"/>
        <w:spacing w:before="100" w:beforeAutospacing="1" w:after="100" w:afterAutospacing="1" w:line="240" w:lineRule="auto"/>
        <w:ind w:left="145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Le paiement des intérêts et le remboursement du capital des Bons du Trésor;</w:t>
      </w:r>
    </w:p>
    <w:p w:rsidR="007F0A4A" w:rsidRPr="007F0A4A" w:rsidRDefault="007F0A4A" w:rsidP="007F0A4A">
      <w:pPr>
        <w:numPr>
          <w:ilvl w:val="1"/>
          <w:numId w:val="1"/>
        </w:numPr>
        <w:shd w:val="clear" w:color="auto" w:fill="EEEEEE"/>
        <w:spacing w:before="100" w:beforeAutospacing="1" w:after="100" w:afterAutospacing="1" w:line="240" w:lineRule="auto"/>
        <w:ind w:left="145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Le dénouement des transactions relatives au marché secondaire des bons du trésor (marchés boursier et de gré à gré).</w:t>
      </w:r>
    </w:p>
    <w:p w:rsidR="007F0A4A" w:rsidRPr="007F0A4A" w:rsidRDefault="007F0A4A" w:rsidP="007F0A4A">
      <w:pPr>
        <w:shd w:val="clear" w:color="auto" w:fill="F5F5F5"/>
        <w:spacing w:before="105" w:after="105" w:line="240" w:lineRule="auto"/>
        <w:ind w:left="105" w:right="10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Les adhérents (teneurs de comptes) de la STICODEVAM sont essentiellement :</w:t>
      </w:r>
    </w:p>
    <w:p w:rsidR="007F0A4A" w:rsidRPr="007F0A4A" w:rsidRDefault="007F0A4A" w:rsidP="007F0A4A">
      <w:pPr>
        <w:numPr>
          <w:ilvl w:val="0"/>
          <w:numId w:val="2"/>
        </w:numPr>
        <w:shd w:val="clear" w:color="auto" w:fill="F5F5F5"/>
        <w:spacing w:before="100" w:beforeAutospacing="1" w:after="100" w:afterAutospacing="1" w:line="240" w:lineRule="auto"/>
        <w:jc w:val="both"/>
        <w:rPr>
          <w:rFonts w:ascii="Arial" w:eastAsia="Times New Roman" w:hAnsi="Arial" w:cs="Arial"/>
          <w:color w:val="4A4A4A"/>
          <w:sz w:val="17"/>
          <w:szCs w:val="17"/>
          <w:lang w:eastAsia="fr-FR"/>
        </w:rPr>
      </w:pPr>
      <w:hyperlink r:id="rId6" w:history="1">
        <w:r w:rsidRPr="007F0A4A">
          <w:rPr>
            <w:rFonts w:ascii="Arial" w:eastAsia="Times New Roman" w:hAnsi="Arial" w:cs="Arial"/>
            <w:color w:val="FF5400"/>
            <w:sz w:val="17"/>
            <w:u w:val="single"/>
            <w:lang w:eastAsia="fr-FR"/>
          </w:rPr>
          <w:t>Les sociétés émettrices (émetteurs)</w:t>
        </w:r>
      </w:hyperlink>
    </w:p>
    <w:p w:rsidR="007F0A4A" w:rsidRPr="007F0A4A" w:rsidRDefault="007F0A4A" w:rsidP="007F0A4A">
      <w:pPr>
        <w:numPr>
          <w:ilvl w:val="0"/>
          <w:numId w:val="2"/>
        </w:numPr>
        <w:shd w:val="clear" w:color="auto" w:fill="F5F5F5"/>
        <w:spacing w:before="100" w:beforeAutospacing="1" w:after="100" w:afterAutospacing="1" w:line="240" w:lineRule="auto"/>
        <w:jc w:val="both"/>
        <w:rPr>
          <w:rFonts w:ascii="Arial" w:eastAsia="Times New Roman" w:hAnsi="Arial" w:cs="Arial"/>
          <w:color w:val="4A4A4A"/>
          <w:sz w:val="17"/>
          <w:szCs w:val="17"/>
          <w:lang w:eastAsia="fr-FR"/>
        </w:rPr>
      </w:pPr>
      <w:hyperlink r:id="rId7" w:history="1">
        <w:r w:rsidRPr="007F0A4A">
          <w:rPr>
            <w:rFonts w:ascii="Arial" w:eastAsia="Times New Roman" w:hAnsi="Arial" w:cs="Arial"/>
            <w:color w:val="FF5400"/>
            <w:sz w:val="17"/>
            <w:u w:val="single"/>
            <w:lang w:eastAsia="fr-FR"/>
          </w:rPr>
          <w:t>Les intermédiaires en bourse</w:t>
        </w:r>
      </w:hyperlink>
    </w:p>
    <w:p w:rsidR="007F0A4A" w:rsidRPr="007F0A4A" w:rsidRDefault="007F0A4A" w:rsidP="007F0A4A">
      <w:pPr>
        <w:numPr>
          <w:ilvl w:val="0"/>
          <w:numId w:val="2"/>
        </w:numPr>
        <w:shd w:val="clear" w:color="auto" w:fill="F5F5F5"/>
        <w:spacing w:before="100" w:beforeAutospacing="1" w:after="100" w:afterAutospacing="1" w:line="240" w:lineRule="auto"/>
        <w:jc w:val="both"/>
        <w:rPr>
          <w:rFonts w:ascii="Arial" w:eastAsia="Times New Roman" w:hAnsi="Arial" w:cs="Arial"/>
          <w:color w:val="4A4A4A"/>
          <w:sz w:val="17"/>
          <w:szCs w:val="17"/>
          <w:lang w:eastAsia="fr-FR"/>
        </w:rPr>
      </w:pPr>
      <w:hyperlink r:id="rId8" w:history="1">
        <w:r w:rsidRPr="007F0A4A">
          <w:rPr>
            <w:rFonts w:ascii="Arial" w:eastAsia="Times New Roman" w:hAnsi="Arial" w:cs="Arial"/>
            <w:color w:val="FF5400"/>
            <w:sz w:val="17"/>
            <w:u w:val="single"/>
            <w:lang w:eastAsia="fr-FR"/>
          </w:rPr>
          <w:t>Les banques</w:t>
        </w:r>
      </w:hyperlink>
    </w:p>
    <w:p w:rsidR="007F0A4A" w:rsidRPr="007F0A4A" w:rsidRDefault="007F0A4A" w:rsidP="007F0A4A">
      <w:pPr>
        <w:shd w:val="clear" w:color="auto" w:fill="F5F5F5"/>
        <w:spacing w:before="105" w:after="105" w:line="240" w:lineRule="auto"/>
        <w:ind w:left="105" w:right="10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Il est à noter que le Trésor et la Banque Centrale de Tunisie sont aussi des teneurs de comptes</w:t>
      </w:r>
    </w:p>
    <w:p w:rsidR="007F0A4A" w:rsidRPr="007F0A4A" w:rsidRDefault="007F0A4A" w:rsidP="007F0A4A">
      <w:pPr>
        <w:shd w:val="clear" w:color="auto" w:fill="F5F5F5"/>
        <w:spacing w:before="105" w:after="105" w:line="240" w:lineRule="auto"/>
        <w:ind w:left="105" w:right="105"/>
        <w:jc w:val="both"/>
        <w:rPr>
          <w:rFonts w:ascii="Arial" w:eastAsia="Times New Roman" w:hAnsi="Arial" w:cs="Arial"/>
          <w:color w:val="4A4A4A"/>
          <w:sz w:val="17"/>
          <w:szCs w:val="17"/>
          <w:lang w:eastAsia="fr-FR"/>
        </w:rPr>
      </w:pPr>
      <w:hyperlink r:id="rId9" w:history="1">
        <w:r w:rsidRPr="007F0A4A">
          <w:rPr>
            <w:rFonts w:ascii="Arial" w:eastAsia="Times New Roman" w:hAnsi="Arial" w:cs="Arial"/>
            <w:color w:val="FF5400"/>
            <w:sz w:val="17"/>
            <w:u w:val="single"/>
            <w:lang w:eastAsia="fr-FR"/>
          </w:rPr>
          <w:t>Voir tous les adhérents</w:t>
        </w:r>
      </w:hyperlink>
    </w:p>
    <w:p w:rsidR="007F0A4A" w:rsidRPr="007F0A4A" w:rsidRDefault="007F0A4A" w:rsidP="007F0A4A">
      <w:pPr>
        <w:shd w:val="clear" w:color="auto" w:fill="F5F5F5"/>
        <w:spacing w:before="105" w:after="105" w:line="240" w:lineRule="auto"/>
        <w:ind w:left="105" w:right="105"/>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Sont, obligatoirement, pris en charge par la STICODEVAM :</w:t>
      </w:r>
    </w:p>
    <w:p w:rsidR="007F0A4A" w:rsidRPr="007F0A4A" w:rsidRDefault="007F0A4A" w:rsidP="007F0A4A">
      <w:pPr>
        <w:numPr>
          <w:ilvl w:val="0"/>
          <w:numId w:val="3"/>
        </w:numPr>
        <w:shd w:val="clear" w:color="auto" w:fill="F5F5F5"/>
        <w:spacing w:before="100" w:beforeAutospacing="1" w:after="100" w:afterAutospacing="1" w:line="240" w:lineRule="auto"/>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Les titres de capital et titres de créance ainsi que les parts des FCC admis à la cote de la bourse;</w:t>
      </w:r>
    </w:p>
    <w:p w:rsidR="007F0A4A" w:rsidRPr="007F0A4A" w:rsidRDefault="007F0A4A" w:rsidP="007F0A4A">
      <w:pPr>
        <w:numPr>
          <w:ilvl w:val="0"/>
          <w:numId w:val="3"/>
        </w:numPr>
        <w:shd w:val="clear" w:color="auto" w:fill="F5F5F5"/>
        <w:spacing w:before="100" w:beforeAutospacing="1" w:after="100" w:afterAutospacing="1" w:line="240" w:lineRule="auto"/>
        <w:jc w:val="both"/>
        <w:rPr>
          <w:rFonts w:ascii="Arial" w:eastAsia="Times New Roman" w:hAnsi="Arial" w:cs="Arial"/>
          <w:color w:val="4A4A4A"/>
          <w:sz w:val="17"/>
          <w:szCs w:val="17"/>
          <w:lang w:eastAsia="fr-FR"/>
        </w:rPr>
      </w:pPr>
      <w:r w:rsidRPr="007F0A4A">
        <w:rPr>
          <w:rFonts w:ascii="Arial" w:eastAsia="Times New Roman" w:hAnsi="Arial" w:cs="Arial"/>
          <w:color w:val="4A4A4A"/>
          <w:sz w:val="17"/>
          <w:szCs w:val="17"/>
          <w:lang w:eastAsia="fr-FR"/>
        </w:rPr>
        <w:t xml:space="preserve">Les Bons du Trésor (BTA, </w:t>
      </w:r>
      <w:proofErr w:type="spellStart"/>
      <w:r w:rsidRPr="007F0A4A">
        <w:rPr>
          <w:rFonts w:ascii="Arial" w:eastAsia="Times New Roman" w:hAnsi="Arial" w:cs="Arial"/>
          <w:color w:val="4A4A4A"/>
          <w:sz w:val="17"/>
          <w:szCs w:val="17"/>
          <w:lang w:eastAsia="fr-FR"/>
        </w:rPr>
        <w:t>BTz</w:t>
      </w:r>
      <w:proofErr w:type="spellEnd"/>
      <w:r w:rsidRPr="007F0A4A">
        <w:rPr>
          <w:rFonts w:ascii="Arial" w:eastAsia="Times New Roman" w:hAnsi="Arial" w:cs="Arial"/>
          <w:color w:val="4A4A4A"/>
          <w:sz w:val="17"/>
          <w:szCs w:val="17"/>
          <w:lang w:eastAsia="fr-FR"/>
        </w:rPr>
        <w:t xml:space="preserve"> et BTC) émis par voie d'adjudication</w:t>
      </w:r>
    </w:p>
    <w:p w:rsidR="00FB59B3" w:rsidRDefault="00732EE3"/>
    <w:tbl>
      <w:tblPr>
        <w:tblW w:w="4900" w:type="pct"/>
        <w:jc w:val="center"/>
        <w:tblCellSpacing w:w="22" w:type="dxa"/>
        <w:tblBorders>
          <w:top w:val="single" w:sz="6" w:space="0" w:color="000066"/>
          <w:left w:val="single" w:sz="6" w:space="0" w:color="000066"/>
          <w:bottom w:val="single" w:sz="6" w:space="0" w:color="000066"/>
          <w:right w:val="single" w:sz="6" w:space="0" w:color="000066"/>
        </w:tblBorders>
        <w:shd w:val="clear" w:color="auto" w:fill="FFFFFF"/>
        <w:tblCellMar>
          <w:left w:w="0" w:type="dxa"/>
          <w:right w:w="0" w:type="dxa"/>
        </w:tblCellMar>
        <w:tblLook w:val="04A0"/>
      </w:tblPr>
      <w:tblGrid>
        <w:gridCol w:w="9006"/>
      </w:tblGrid>
      <w:tr w:rsidR="003563C8" w:rsidRPr="003563C8" w:rsidTr="003563C8">
        <w:trPr>
          <w:trHeight w:val="25350"/>
          <w:tblCellSpacing w:w="22" w:type="dxa"/>
          <w:jc w:val="center"/>
        </w:trPr>
        <w:tc>
          <w:tcPr>
            <w:tcW w:w="0" w:type="auto"/>
            <w:shd w:val="clear" w:color="auto" w:fill="FFFFFF"/>
            <w:vAlign w:val="center"/>
            <w:hideMark/>
          </w:tcPr>
          <w:p w:rsidR="003563C8" w:rsidRPr="003563C8" w:rsidRDefault="003563C8" w:rsidP="003563C8">
            <w:pPr>
              <w:spacing w:after="0" w:line="240" w:lineRule="auto"/>
              <w:rPr>
                <w:rFonts w:ascii="Tahoma" w:eastAsia="Times New Roman" w:hAnsi="Tahoma" w:cs="Tahoma"/>
                <w:color w:val="000000"/>
                <w:sz w:val="17"/>
                <w:szCs w:val="17"/>
                <w:lang w:eastAsia="fr-FR"/>
              </w:rPr>
            </w:pPr>
          </w:p>
        </w:tc>
      </w:tr>
      <w:tr w:rsidR="003563C8" w:rsidRPr="003563C8" w:rsidTr="00732EE3">
        <w:trPr>
          <w:trHeight w:val="375"/>
          <w:tblCellSpacing w:w="22" w:type="dxa"/>
          <w:jc w:val="center"/>
        </w:trPr>
        <w:tc>
          <w:tcPr>
            <w:tcW w:w="4951" w:type="pct"/>
            <w:tcBorders>
              <w:top w:val="single" w:sz="6" w:space="0" w:color="000066"/>
              <w:left w:val="single" w:sz="6" w:space="0" w:color="000066"/>
              <w:bottom w:val="single" w:sz="6" w:space="0" w:color="000066"/>
              <w:right w:val="single" w:sz="6" w:space="0" w:color="000066"/>
            </w:tcBorders>
            <w:shd w:val="clear" w:color="auto" w:fill="000095"/>
            <w:vAlign w:val="center"/>
            <w:hideMark/>
          </w:tcPr>
          <w:p w:rsidR="003563C8" w:rsidRPr="003563C8" w:rsidRDefault="003563C8" w:rsidP="003563C8">
            <w:pPr>
              <w:spacing w:after="0" w:line="240" w:lineRule="auto"/>
              <w:rPr>
                <w:rFonts w:ascii="Tahoma" w:eastAsia="Times New Roman" w:hAnsi="Tahoma" w:cs="Tahoma"/>
                <w:b/>
                <w:bCs/>
                <w:color w:val="FFFFFF"/>
                <w:sz w:val="20"/>
                <w:szCs w:val="20"/>
                <w:lang w:eastAsia="fr-FR"/>
              </w:rPr>
            </w:pPr>
            <w:r w:rsidRPr="003563C8">
              <w:rPr>
                <w:rFonts w:ascii="Tahoma" w:eastAsia="Times New Roman" w:hAnsi="Tahoma" w:cs="Tahoma"/>
                <w:b/>
                <w:bCs/>
                <w:color w:val="FFFFFF"/>
                <w:sz w:val="20"/>
                <w:lang w:eastAsia="fr-FR"/>
              </w:rPr>
              <w:lastRenderedPageBreak/>
              <w:t> </w:t>
            </w:r>
            <w:r w:rsidRPr="003563C8">
              <w:rPr>
                <w:rFonts w:ascii="Tahoma" w:eastAsia="Times New Roman" w:hAnsi="Tahoma" w:cs="Tahoma"/>
                <w:b/>
                <w:bCs/>
                <w:color w:val="FFFFFF"/>
                <w:sz w:val="20"/>
                <w:szCs w:val="20"/>
                <w:lang w:eastAsia="fr-FR"/>
              </w:rPr>
              <w:t>Le Marché Financier Tunisien</w:t>
            </w:r>
          </w:p>
        </w:tc>
      </w:tr>
      <w:tr w:rsidR="003563C8" w:rsidRPr="003563C8" w:rsidTr="003563C8">
        <w:trPr>
          <w:trHeight w:val="25350"/>
          <w:tblCellSpacing w:w="22" w:type="dxa"/>
          <w:jc w:val="center"/>
        </w:trPr>
        <w:tc>
          <w:tcPr>
            <w:tcW w:w="0" w:type="auto"/>
            <w:shd w:val="clear" w:color="auto" w:fill="FFFFFF"/>
            <w:vAlign w:val="center"/>
            <w:hideMark/>
          </w:tcPr>
          <w:p w:rsidR="003563C8" w:rsidRPr="003563C8" w:rsidRDefault="003563C8" w:rsidP="003563C8">
            <w:pPr>
              <w:spacing w:after="0" w:line="240" w:lineRule="auto"/>
              <w:rPr>
                <w:rFonts w:ascii="Tahoma" w:eastAsia="Times New Roman" w:hAnsi="Tahoma" w:cs="Tahoma"/>
                <w:color w:val="000000"/>
                <w:sz w:val="17"/>
                <w:szCs w:val="17"/>
                <w:lang w:eastAsia="fr-FR"/>
              </w:rPr>
            </w:pPr>
          </w:p>
          <w:tbl>
            <w:tblPr>
              <w:tblW w:w="4850" w:type="pct"/>
              <w:jc w:val="center"/>
              <w:tblCellSpacing w:w="15" w:type="dxa"/>
              <w:tblCellMar>
                <w:top w:w="15" w:type="dxa"/>
                <w:left w:w="15" w:type="dxa"/>
                <w:bottom w:w="15" w:type="dxa"/>
                <w:right w:w="15" w:type="dxa"/>
              </w:tblCellMar>
              <w:tblLook w:val="04A0"/>
            </w:tblPr>
            <w:tblGrid>
              <w:gridCol w:w="8621"/>
            </w:tblGrid>
            <w:tr w:rsidR="003563C8" w:rsidRPr="003563C8">
              <w:trPr>
                <w:trHeight w:val="4680"/>
                <w:tblCellSpacing w:w="15" w:type="dxa"/>
                <w:jc w:val="center"/>
              </w:trPr>
              <w:tc>
                <w:tcPr>
                  <w:tcW w:w="0" w:type="auto"/>
                  <w:vAlign w:val="center"/>
                  <w:hideMark/>
                </w:tcPr>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szCs w:val="20"/>
                      <w:lang w:eastAsia="fr-FR"/>
                    </w:rPr>
                    <w:t>La nouvelle organisation du marché financier tunisien, telle qu'arrêtée par la</w:t>
                  </w:r>
                  <w:r w:rsidRPr="003563C8">
                    <w:rPr>
                      <w:rFonts w:ascii="Verdana" w:eastAsia="Times New Roman" w:hAnsi="Verdana" w:cs="Times New Roman"/>
                      <w:color w:val="000000"/>
                      <w:sz w:val="20"/>
                      <w:lang w:eastAsia="fr-FR"/>
                    </w:rPr>
                    <w:t> </w:t>
                  </w:r>
                  <w:r w:rsidRPr="003563C8">
                    <w:rPr>
                      <w:rFonts w:ascii="Tahoma" w:eastAsia="Times New Roman" w:hAnsi="Tahoma" w:cs="Tahoma"/>
                      <w:b/>
                      <w:bCs/>
                      <w:color w:val="000066"/>
                      <w:sz w:val="20"/>
                      <w:lang w:eastAsia="fr-FR"/>
                    </w:rPr>
                    <w:t>loi N° 94-117</w:t>
                  </w:r>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t>du 14 Novembre 1994 a établi une nouvelle redistribution des tâches et des pouvoirs. Elle repose sur une trilogie d'institutions qui sont :</w:t>
                  </w:r>
                  <w:r w:rsidRPr="003563C8">
                    <w:rPr>
                      <w:rFonts w:ascii="Verdana" w:eastAsia="Times New Roman" w:hAnsi="Verdana" w:cs="Times New Roman"/>
                      <w:color w:val="000000"/>
                      <w:sz w:val="20"/>
                      <w:szCs w:val="20"/>
                      <w:lang w:eastAsia="fr-FR"/>
                    </w:rPr>
                    <w:br/>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 name="Image 1"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Un organisme de régulation: le Conseil du Marché Financier</w:t>
                  </w:r>
                  <w:r w:rsidRPr="003563C8">
                    <w:rPr>
                      <w:rFonts w:ascii="Verdana" w:eastAsia="Times New Roman" w:hAnsi="Verdana" w:cs="Times New Roman"/>
                      <w:color w:val="000000"/>
                      <w:sz w:val="20"/>
                      <w:lang w:eastAsia="fr-FR"/>
                    </w:rPr>
                    <w:t> </w:t>
                  </w:r>
                  <w:hyperlink r:id="rId11" w:history="1">
                    <w:r w:rsidRPr="003563C8">
                      <w:rPr>
                        <w:rFonts w:ascii="Tahoma" w:eastAsia="Times New Roman" w:hAnsi="Tahoma" w:cs="Tahoma"/>
                        <w:b/>
                        <w:bCs/>
                        <w:color w:val="000066"/>
                        <w:sz w:val="20"/>
                        <w:lang w:eastAsia="fr-FR"/>
                      </w:rPr>
                      <w:t>CMF</w:t>
                    </w:r>
                  </w:hyperlink>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2" name="Image 2"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Un organisme chargé de la gestion du marché:</w:t>
                  </w:r>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3" name="Image 3" descr="http://www.cmf.org.tn/img/puc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f.org.tn/img/puceb.gif"/>
                                <pic:cNvPicPr>
                                  <a:picLocks noChangeAspect="1" noChangeArrowheads="1"/>
                                </pic:cNvPicPr>
                              </pic:nvPicPr>
                              <pic:blipFill>
                                <a:blip r:embed="rId12"/>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La Bourse des Valeurs Mobilières de Tunis</w:t>
                  </w:r>
                  <w:r w:rsidRPr="003563C8">
                    <w:rPr>
                      <w:rFonts w:ascii="Verdana" w:eastAsia="Times New Roman" w:hAnsi="Verdana" w:cs="Times New Roman"/>
                      <w:color w:val="000000"/>
                      <w:sz w:val="20"/>
                      <w:lang w:eastAsia="fr-FR"/>
                    </w:rPr>
                    <w:t> </w:t>
                  </w:r>
                  <w:hyperlink r:id="rId13" w:anchor="bvmt" w:history="1">
                    <w:r w:rsidRPr="003563C8">
                      <w:rPr>
                        <w:rFonts w:ascii="Tahoma" w:eastAsia="Times New Roman" w:hAnsi="Tahoma" w:cs="Tahoma"/>
                        <w:b/>
                        <w:bCs/>
                        <w:color w:val="000066"/>
                        <w:sz w:val="20"/>
                        <w:lang w:eastAsia="fr-FR"/>
                      </w:rPr>
                      <w:t>BVMT</w:t>
                    </w:r>
                  </w:hyperlink>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4" name="Image 4"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Un organisme chargé du dépôt et de la compensation: La Société Tunisienne</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5" name="Image 5" descr="http://www.cmf.org.tn/img/puc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mf.org.tn/img/puceb.gif"/>
                                <pic:cNvPicPr>
                                  <a:picLocks noChangeAspect="1" noChangeArrowheads="1"/>
                                </pic:cNvPicPr>
                              </pic:nvPicPr>
                              <pic:blipFill>
                                <a:blip r:embed="rId12"/>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Interprofessionnelle pour la Compensation et le Dépôt de Valeurs Mobilières</w:t>
                  </w:r>
                  <w:r w:rsidRPr="003563C8">
                    <w:rPr>
                      <w:rFonts w:ascii="Verdana" w:eastAsia="Times New Roman" w:hAnsi="Verdana" w:cs="Times New Roman"/>
                      <w:color w:val="000000"/>
                      <w:sz w:val="20"/>
                      <w:lang w:eastAsia="fr-FR"/>
                    </w:rPr>
                    <w:t> </w:t>
                  </w:r>
                  <w:hyperlink r:id="rId14" w:anchor="stico" w:history="1">
                    <w:r w:rsidRPr="003563C8">
                      <w:rPr>
                        <w:rFonts w:ascii="Tahoma" w:eastAsia="Times New Roman" w:hAnsi="Tahoma" w:cs="Tahoma"/>
                        <w:b/>
                        <w:bCs/>
                        <w:color w:val="000066"/>
                        <w:sz w:val="20"/>
                        <w:lang w:eastAsia="fr-FR"/>
                      </w:rPr>
                      <w:t>STICODEVAM</w:t>
                    </w:r>
                  </w:hyperlink>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szCs w:val="20"/>
                      <w:lang w:eastAsia="fr-FR"/>
                    </w:rPr>
                    <w:t>Dans cette structure, la chaîne d'investissement en bourse prend naissance avec la transmission d'un ordre de bourse par le biais d'un intermédiaire en bourse et se clôture par le dénouement de la transaction avec la livraison d'un titre ou l'encaissement de sa contre-valeur.  Les différentes étapes sont assurées en réseau électronique entre les trois institutions.</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lang w:eastAsia="fr-FR"/>
                    </w:rPr>
                    <w:t>Les </w:t>
                  </w:r>
                  <w:hyperlink r:id="rId15" w:anchor="ib" w:tgtFrame="_self" w:history="1">
                    <w:r w:rsidRPr="003563C8">
                      <w:rPr>
                        <w:rFonts w:ascii="Tahoma" w:eastAsia="Times New Roman" w:hAnsi="Tahoma" w:cs="Tahoma"/>
                        <w:b/>
                        <w:bCs/>
                        <w:color w:val="000066"/>
                        <w:sz w:val="20"/>
                        <w:lang w:eastAsia="fr-FR"/>
                      </w:rPr>
                      <w:t>intermédiaires en bourse</w:t>
                    </w:r>
                  </w:hyperlink>
                  <w:r w:rsidRPr="003563C8">
                    <w:rPr>
                      <w:rFonts w:ascii="Verdana" w:eastAsia="Times New Roman" w:hAnsi="Verdana" w:cs="Times New Roman"/>
                      <w:color w:val="000000"/>
                      <w:sz w:val="20"/>
                      <w:lang w:eastAsia="fr-FR"/>
                    </w:rPr>
                    <w:t>, qui sont les agents exclusifs habilités par la loi à procéder à la négociation et à l'enregistrement des valeurs mobilières en bourse pour le compte de leurs clients ou pour leur propre compte, sont regroupés au sein d'une association chargée de la défense des intérêts de la profession, l'Association des Intermédiaires en Bourse </w:t>
                  </w:r>
                  <w:hyperlink r:id="rId16" w:anchor="aib" w:tgtFrame="_self" w:history="1">
                    <w:r w:rsidRPr="003563C8">
                      <w:rPr>
                        <w:rFonts w:ascii="Tahoma" w:eastAsia="Times New Roman" w:hAnsi="Tahoma" w:cs="Tahoma"/>
                        <w:b/>
                        <w:bCs/>
                        <w:color w:val="000066"/>
                        <w:sz w:val="20"/>
                        <w:lang w:eastAsia="fr-FR"/>
                      </w:rPr>
                      <w:t>AIB</w:t>
                    </w:r>
                  </w:hyperlink>
                  <w:r w:rsidRPr="003563C8">
                    <w:rPr>
                      <w:rFonts w:ascii="Verdana" w:eastAsia="Times New Roman" w:hAnsi="Verdana" w:cs="Times New Roman"/>
                      <w:color w:val="000000"/>
                      <w:sz w:val="20"/>
                      <w:lang w:eastAsia="fr-FR"/>
                    </w:rPr>
                    <w:t> .</w:t>
                  </w:r>
                </w:p>
                <w:p w:rsidR="003563C8" w:rsidRPr="003563C8" w:rsidRDefault="003563C8" w:rsidP="00732EE3">
                  <w:pPr>
                    <w:spacing w:before="100" w:beforeAutospacing="1" w:after="100" w:afterAutospacing="1" w:line="240" w:lineRule="auto"/>
                    <w:rPr>
                      <w:rFonts w:ascii="Verdana" w:eastAsia="Times New Roman" w:hAnsi="Verdana" w:cs="Times New Roman"/>
                      <w:color w:val="000000"/>
                      <w:sz w:val="20"/>
                      <w:szCs w:val="20"/>
                      <w:lang w:eastAsia="fr-FR"/>
                    </w:rPr>
                  </w:pPr>
                  <w:hyperlink r:id="rId17" w:history="1">
                    <w:r w:rsidRPr="003563C8">
                      <w:rPr>
                        <w:rFonts w:ascii="Tahoma" w:eastAsia="Times New Roman" w:hAnsi="Tahoma" w:cs="Tahoma"/>
                        <w:b/>
                        <w:bCs/>
                        <w:color w:val="000066"/>
                        <w:sz w:val="20"/>
                        <w:lang w:eastAsia="fr-FR"/>
                      </w:rPr>
                      <w:t>CMF - </w:t>
                    </w:r>
                  </w:hyperlink>
                  <w:hyperlink r:id="rId18" w:anchor="bvmt" w:history="1">
                    <w:r w:rsidRPr="003563C8">
                      <w:rPr>
                        <w:rFonts w:ascii="Tahoma" w:eastAsia="Times New Roman" w:hAnsi="Tahoma" w:cs="Tahoma"/>
                        <w:b/>
                        <w:bCs/>
                        <w:color w:val="000066"/>
                        <w:sz w:val="20"/>
                        <w:lang w:eastAsia="fr-FR"/>
                      </w:rPr>
                      <w:t>BVMT </w:t>
                    </w:r>
                  </w:hyperlink>
                  <w:r w:rsidRPr="003563C8">
                    <w:rPr>
                      <w:rFonts w:ascii="Tahoma" w:eastAsia="Times New Roman" w:hAnsi="Tahoma" w:cs="Tahoma"/>
                      <w:b/>
                      <w:bCs/>
                      <w:color w:val="000066"/>
                      <w:sz w:val="20"/>
                      <w:lang w:eastAsia="fr-FR"/>
                    </w:rPr>
                    <w:t>- </w:t>
                  </w:r>
                  <w:hyperlink r:id="rId19" w:anchor="stico" w:history="1">
                    <w:r w:rsidRPr="003563C8">
                      <w:rPr>
                        <w:rFonts w:ascii="Tahoma" w:eastAsia="Times New Roman" w:hAnsi="Tahoma" w:cs="Tahoma"/>
                        <w:b/>
                        <w:bCs/>
                        <w:color w:val="000066"/>
                        <w:sz w:val="20"/>
                        <w:lang w:eastAsia="fr-FR"/>
                      </w:rPr>
                      <w:t>STICODEVAM</w:t>
                    </w:r>
                  </w:hyperlink>
                  <w:r w:rsidRPr="003563C8">
                    <w:rPr>
                      <w:rFonts w:ascii="Tahoma" w:eastAsia="Times New Roman" w:hAnsi="Tahoma" w:cs="Tahoma"/>
                      <w:b/>
                      <w:bCs/>
                      <w:color w:val="000066"/>
                      <w:sz w:val="20"/>
                      <w:lang w:eastAsia="fr-FR"/>
                    </w:rPr>
                    <w:t> - </w:t>
                  </w:r>
                  <w:hyperlink r:id="rId20" w:anchor="ib" w:tgtFrame="_self" w:history="1">
                    <w:r w:rsidRPr="003563C8">
                      <w:rPr>
                        <w:rFonts w:ascii="Tahoma" w:eastAsia="Times New Roman" w:hAnsi="Tahoma" w:cs="Tahoma"/>
                        <w:b/>
                        <w:bCs/>
                        <w:color w:val="000066"/>
                        <w:sz w:val="20"/>
                        <w:lang w:eastAsia="fr-FR"/>
                      </w:rPr>
                      <w:t>intermédiaires en bourse</w:t>
                    </w:r>
                  </w:hyperlink>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t>-</w:t>
                  </w:r>
                  <w:r w:rsidRPr="003563C8">
                    <w:rPr>
                      <w:rFonts w:ascii="Verdana" w:eastAsia="Times New Roman" w:hAnsi="Verdana" w:cs="Times New Roman"/>
                      <w:color w:val="000000"/>
                      <w:sz w:val="20"/>
                      <w:lang w:eastAsia="fr-FR"/>
                    </w:rPr>
                    <w:t> </w:t>
                  </w:r>
                  <w:hyperlink r:id="rId21" w:anchor="aib" w:tgtFrame="_self" w:history="1">
                    <w:r w:rsidRPr="003563C8">
                      <w:rPr>
                        <w:rFonts w:ascii="Tahoma" w:eastAsia="Times New Roman" w:hAnsi="Tahoma" w:cs="Tahoma"/>
                        <w:b/>
                        <w:bCs/>
                        <w:color w:val="000066"/>
                        <w:sz w:val="20"/>
                        <w:lang w:eastAsia="fr-FR"/>
                      </w:rPr>
                      <w:t>AIB</w:t>
                    </w:r>
                  </w:hyperlink>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t>-</w:t>
                  </w:r>
                  <w:r w:rsidRPr="003563C8">
                    <w:rPr>
                      <w:rFonts w:ascii="Verdana" w:eastAsia="Times New Roman" w:hAnsi="Verdana" w:cs="Times New Roman"/>
                      <w:color w:val="000000"/>
                      <w:sz w:val="20"/>
                      <w:lang w:eastAsia="fr-FR"/>
                    </w:rPr>
                    <w:t> </w:t>
                  </w:r>
                  <w:hyperlink r:id="rId22" w:anchor="fgm" w:tgtFrame="_self" w:history="1">
                    <w:proofErr w:type="gramStart"/>
                    <w:r w:rsidRPr="003563C8">
                      <w:rPr>
                        <w:rFonts w:ascii="Tahoma" w:eastAsia="Times New Roman" w:hAnsi="Tahoma" w:cs="Tahoma"/>
                        <w:b/>
                        <w:bCs/>
                        <w:color w:val="000066"/>
                        <w:sz w:val="20"/>
                        <w:lang w:eastAsia="fr-FR"/>
                      </w:rPr>
                      <w:t>fonds</w:t>
                    </w:r>
                    <w:proofErr w:type="gramEnd"/>
                    <w:r w:rsidRPr="003563C8">
                      <w:rPr>
                        <w:rFonts w:ascii="Tahoma" w:eastAsia="Times New Roman" w:hAnsi="Tahoma" w:cs="Tahoma"/>
                        <w:b/>
                        <w:bCs/>
                        <w:color w:val="000066"/>
                        <w:sz w:val="20"/>
                        <w:lang w:eastAsia="fr-FR"/>
                      </w:rPr>
                      <w:t xml:space="preserve"> de garantie de marché</w:t>
                    </w:r>
                  </w:hyperlink>
                </w:p>
                <w:p w:rsidR="003563C8" w:rsidRPr="003563C8" w:rsidRDefault="003563C8" w:rsidP="003563C8">
                  <w:pPr>
                    <w:shd w:val="clear" w:color="auto" w:fill="99CCFF"/>
                    <w:spacing w:before="100" w:beforeAutospacing="1" w:after="100" w:afterAutospacing="1" w:line="300" w:lineRule="atLeast"/>
                    <w:jc w:val="center"/>
                    <w:rPr>
                      <w:rFonts w:ascii="Verdana" w:eastAsia="Times New Roman" w:hAnsi="Verdana" w:cs="Times New Roman"/>
                      <w:b/>
                      <w:bCs/>
                      <w:color w:val="000000"/>
                      <w:sz w:val="17"/>
                      <w:szCs w:val="17"/>
                      <w:lang w:eastAsia="fr-FR"/>
                    </w:rPr>
                  </w:pPr>
                  <w:bookmarkStart w:id="0" w:name="bvmt"/>
                  <w:bookmarkEnd w:id="0"/>
                  <w:r w:rsidRPr="003563C8">
                    <w:rPr>
                      <w:rFonts w:ascii="Verdana" w:eastAsia="Times New Roman" w:hAnsi="Verdana" w:cs="Times New Roman"/>
                      <w:b/>
                      <w:bCs/>
                      <w:color w:val="000000"/>
                      <w:sz w:val="17"/>
                      <w:szCs w:val="17"/>
                      <w:lang w:eastAsia="fr-FR"/>
                    </w:rPr>
                    <w:t>La BVMT : Bourse des Valeurs Mobilières de Tunis</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szCs w:val="20"/>
                      <w:lang w:eastAsia="fr-FR"/>
                    </w:rPr>
                    <w:t>Erigée sous la forme d'une société anonyme de droit privé avec un capital exclusivement et égalitairement détenu par les intermédiaires en bourse, la</w:t>
                  </w:r>
                  <w:r w:rsidRPr="003563C8">
                    <w:rPr>
                      <w:rFonts w:ascii="Verdana" w:eastAsia="Times New Roman" w:hAnsi="Verdana" w:cs="Times New Roman"/>
                      <w:color w:val="000000"/>
                      <w:sz w:val="20"/>
                      <w:lang w:eastAsia="fr-FR"/>
                    </w:rPr>
                    <w:t> </w:t>
                  </w:r>
                  <w:r w:rsidRPr="003563C8">
                    <w:rPr>
                      <w:rFonts w:ascii="Tahoma" w:eastAsia="Times New Roman" w:hAnsi="Tahoma" w:cs="Tahoma"/>
                      <w:b/>
                      <w:bCs/>
                      <w:color w:val="000066"/>
                      <w:sz w:val="20"/>
                      <w:lang w:eastAsia="fr-FR"/>
                    </w:rPr>
                    <w:t>BVMT</w:t>
                  </w:r>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t>a pour mission de gérer le marché</w:t>
                  </w:r>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br/>
                    <w:t>des valeurs mobilières, ce qui inclut les opérations de négociation et d'enregistrement.</w:t>
                  </w:r>
                  <w:r w:rsidRPr="003563C8">
                    <w:rPr>
                      <w:rFonts w:ascii="Verdana" w:eastAsia="Times New Roman" w:hAnsi="Verdana" w:cs="Times New Roman"/>
                      <w:color w:val="000000"/>
                      <w:sz w:val="20"/>
                      <w:szCs w:val="20"/>
                      <w:lang w:eastAsia="fr-FR"/>
                    </w:rPr>
                    <w:br/>
                    <w:t>Ce choix vise avant tout de permettre au marché d'être géré par des professionnels.</w:t>
                  </w:r>
                  <w:r w:rsidRPr="003563C8">
                    <w:rPr>
                      <w:rFonts w:ascii="Verdana" w:eastAsia="Times New Roman" w:hAnsi="Verdana" w:cs="Times New Roman"/>
                      <w:color w:val="000000"/>
                      <w:sz w:val="20"/>
                      <w:szCs w:val="20"/>
                      <w:lang w:eastAsia="fr-FR"/>
                    </w:rPr>
                    <w:br/>
                  </w:r>
                  <w:r w:rsidRPr="003563C8">
                    <w:rPr>
                      <w:rFonts w:ascii="Verdana" w:eastAsia="Times New Roman" w:hAnsi="Verdana" w:cs="Times New Roman"/>
                      <w:color w:val="000000"/>
                      <w:sz w:val="20"/>
                      <w:szCs w:val="20"/>
                      <w:lang w:eastAsia="fr-FR"/>
                    </w:rPr>
                    <w:br/>
                    <w:t>Il appartient à la</w:t>
                  </w:r>
                  <w:r w:rsidRPr="003563C8">
                    <w:rPr>
                      <w:rFonts w:ascii="Verdana" w:eastAsia="Times New Roman" w:hAnsi="Verdana" w:cs="Times New Roman"/>
                      <w:color w:val="000000"/>
                      <w:sz w:val="20"/>
                      <w:lang w:eastAsia="fr-FR"/>
                    </w:rPr>
                    <w:t> </w:t>
                  </w:r>
                  <w:r w:rsidRPr="003563C8">
                    <w:rPr>
                      <w:rFonts w:ascii="Tahoma" w:eastAsia="Times New Roman" w:hAnsi="Tahoma" w:cs="Tahoma"/>
                      <w:b/>
                      <w:bCs/>
                      <w:color w:val="000066"/>
                      <w:sz w:val="20"/>
                      <w:lang w:eastAsia="fr-FR"/>
                    </w:rPr>
                    <w:t>BVMT</w:t>
                  </w:r>
                  <w:r w:rsidRPr="003563C8">
                    <w:rPr>
                      <w:rFonts w:ascii="Verdana" w:eastAsia="Times New Roman" w:hAnsi="Verdana" w:cs="Times New Roman"/>
                      <w:color w:val="000000"/>
                      <w:sz w:val="20"/>
                      <w:szCs w:val="20"/>
                      <w:lang w:eastAsia="fr-FR"/>
                    </w:rPr>
                    <w:t>:</w:t>
                  </w:r>
                  <w:r w:rsidRPr="003563C8">
                    <w:rPr>
                      <w:rFonts w:ascii="Verdana" w:eastAsia="Times New Roman" w:hAnsi="Verdana" w:cs="Times New Roman"/>
                      <w:color w:val="000000"/>
                      <w:sz w:val="20"/>
                      <w:szCs w:val="20"/>
                      <w:lang w:eastAsia="fr-FR"/>
                    </w:rPr>
                    <w:br/>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6" name="Image 6"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D'établir ses propres règlements de parquet.</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7" name="Image 7"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De choisir elle-même ses systèmes, supports, et modes de cotation.</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8" name="Image 8"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De se prononcer sur l'admission, la suspension ou la radiation des valeurs et produits</w:t>
                  </w:r>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9" name="Image 9" descr="http://www.cmf.org.tn/img/puc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mf.org.tn/img/puceb.gif"/>
                                <pic:cNvPicPr>
                                  <a:picLocks noChangeAspect="1" noChangeArrowheads="1"/>
                                </pic:cNvPicPr>
                              </pic:nvPicPr>
                              <pic:blipFill>
                                <a:blip r:embed="rId12"/>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financiers sur ses marchés.</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szCs w:val="20"/>
                      <w:lang w:eastAsia="fr-FR"/>
                    </w:rPr>
                    <w:t>La</w:t>
                  </w:r>
                  <w:r w:rsidRPr="003563C8">
                    <w:rPr>
                      <w:rFonts w:ascii="Verdana" w:eastAsia="Times New Roman" w:hAnsi="Verdana" w:cs="Times New Roman"/>
                      <w:color w:val="000000"/>
                      <w:sz w:val="20"/>
                      <w:lang w:eastAsia="fr-FR"/>
                    </w:rPr>
                    <w:t> </w:t>
                  </w:r>
                  <w:r w:rsidRPr="003563C8">
                    <w:rPr>
                      <w:rFonts w:ascii="Tahoma" w:eastAsia="Times New Roman" w:hAnsi="Tahoma" w:cs="Tahoma"/>
                      <w:b/>
                      <w:bCs/>
                      <w:color w:val="000066"/>
                      <w:sz w:val="20"/>
                      <w:lang w:eastAsia="fr-FR"/>
                    </w:rPr>
                    <w:t>BVMT</w:t>
                  </w:r>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t xml:space="preserve">a adopté le système de cotation électronique, baptisé "Stock Exchange Management </w:t>
                  </w:r>
                  <w:proofErr w:type="spellStart"/>
                  <w:r w:rsidRPr="003563C8">
                    <w:rPr>
                      <w:rFonts w:ascii="Verdana" w:eastAsia="Times New Roman" w:hAnsi="Verdana" w:cs="Times New Roman"/>
                      <w:color w:val="000000"/>
                      <w:sz w:val="20"/>
                      <w:szCs w:val="20"/>
                      <w:lang w:eastAsia="fr-FR"/>
                    </w:rPr>
                    <w:t>System"</w:t>
                  </w:r>
                  <w:r w:rsidRPr="003563C8">
                    <w:rPr>
                      <w:rFonts w:ascii="Verdana" w:eastAsia="Times New Roman" w:hAnsi="Verdana" w:cs="Times New Roman"/>
                      <w:b/>
                      <w:bCs/>
                      <w:color w:val="000000"/>
                      <w:sz w:val="20"/>
                      <w:szCs w:val="20"/>
                      <w:lang w:eastAsia="fr-FR"/>
                    </w:rPr>
                    <w:t>SEMS</w:t>
                  </w:r>
                  <w:proofErr w:type="spellEnd"/>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t>qui utilise les technologies des systèmes ouverts UNIX et ORACLE.</w:t>
                  </w:r>
                </w:p>
                <w:p w:rsidR="003563C8" w:rsidRPr="003563C8" w:rsidRDefault="003563C8" w:rsidP="003563C8">
                  <w:pPr>
                    <w:shd w:val="clear" w:color="auto" w:fill="99CCFF"/>
                    <w:spacing w:before="100" w:beforeAutospacing="1" w:after="100" w:afterAutospacing="1" w:line="300" w:lineRule="atLeast"/>
                    <w:jc w:val="center"/>
                    <w:rPr>
                      <w:rFonts w:ascii="Verdana" w:eastAsia="Times New Roman" w:hAnsi="Verdana" w:cs="Times New Roman"/>
                      <w:b/>
                      <w:bCs/>
                      <w:color w:val="000000"/>
                      <w:sz w:val="17"/>
                      <w:szCs w:val="17"/>
                      <w:lang w:eastAsia="fr-FR"/>
                    </w:rPr>
                  </w:pPr>
                  <w:bookmarkStart w:id="1" w:name="stico"/>
                  <w:bookmarkEnd w:id="1"/>
                  <w:r w:rsidRPr="003563C8">
                    <w:rPr>
                      <w:rFonts w:ascii="Verdana" w:eastAsia="Times New Roman" w:hAnsi="Verdana" w:cs="Times New Roman"/>
                      <w:b/>
                      <w:bCs/>
                      <w:color w:val="000000"/>
                      <w:sz w:val="17"/>
                      <w:szCs w:val="17"/>
                      <w:lang w:eastAsia="fr-FR"/>
                    </w:rPr>
                    <w:t>La STICODEVAM</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lang w:eastAsia="fr-FR"/>
                    </w:rPr>
                    <w:t>Société Tunisienne Interprofessionnelle pour la Compensation et le Dépôt des Valeurs Mobilières.</w:t>
                  </w:r>
                  <w:r w:rsidRPr="003563C8">
                    <w:rPr>
                      <w:rFonts w:ascii="Verdana" w:eastAsia="Times New Roman" w:hAnsi="Verdana" w:cs="Times New Roman"/>
                      <w:color w:val="000000"/>
                      <w:sz w:val="20"/>
                      <w:szCs w:val="20"/>
                      <w:lang w:eastAsia="fr-FR"/>
                    </w:rPr>
                    <w:br/>
                  </w:r>
                  <w:r w:rsidRPr="003563C8">
                    <w:rPr>
                      <w:rFonts w:ascii="Verdana" w:eastAsia="Times New Roman" w:hAnsi="Verdana" w:cs="Times New Roman"/>
                      <w:color w:val="000000"/>
                      <w:sz w:val="20"/>
                      <w:szCs w:val="20"/>
                      <w:lang w:eastAsia="fr-FR"/>
                    </w:rPr>
                    <w:br/>
                  </w:r>
                  <w:r w:rsidRPr="003563C8">
                    <w:rPr>
                      <w:rFonts w:ascii="Verdana" w:eastAsia="Times New Roman" w:hAnsi="Verdana" w:cs="Times New Roman"/>
                      <w:color w:val="000000"/>
                      <w:sz w:val="20"/>
                      <w:lang w:eastAsia="fr-FR"/>
                    </w:rPr>
                    <w:t>La </w:t>
                  </w:r>
                  <w:r w:rsidRPr="003563C8">
                    <w:rPr>
                      <w:rFonts w:ascii="Tahoma" w:eastAsia="Times New Roman" w:hAnsi="Tahoma" w:cs="Tahoma"/>
                      <w:b/>
                      <w:bCs/>
                      <w:color w:val="000066"/>
                      <w:sz w:val="20"/>
                      <w:lang w:eastAsia="fr-FR"/>
                    </w:rPr>
                    <w:t>STICODEVAM</w:t>
                  </w:r>
                  <w:r w:rsidRPr="003563C8">
                    <w:rPr>
                      <w:rFonts w:ascii="Verdana" w:eastAsia="Times New Roman" w:hAnsi="Verdana" w:cs="Times New Roman"/>
                      <w:color w:val="000000"/>
                      <w:sz w:val="20"/>
                      <w:lang w:eastAsia="fr-FR"/>
                    </w:rPr>
                    <w:t> est une société interprofessionnelle chargée du dépôt, de la compensation et du règlement des titres.</w:t>
                  </w:r>
                  <w:r w:rsidRPr="003563C8">
                    <w:rPr>
                      <w:rFonts w:ascii="Verdana" w:eastAsia="Times New Roman" w:hAnsi="Verdana" w:cs="Times New Roman"/>
                      <w:color w:val="000000"/>
                      <w:sz w:val="20"/>
                      <w:szCs w:val="20"/>
                      <w:lang w:eastAsia="fr-FR"/>
                    </w:rPr>
                    <w:br/>
                  </w:r>
                  <w:r w:rsidRPr="003563C8">
                    <w:rPr>
                      <w:rFonts w:ascii="Verdana" w:eastAsia="Times New Roman" w:hAnsi="Verdana" w:cs="Times New Roman"/>
                      <w:color w:val="000000"/>
                      <w:sz w:val="20"/>
                      <w:szCs w:val="20"/>
                      <w:lang w:eastAsia="fr-FR"/>
                    </w:rPr>
                    <w:br/>
                  </w:r>
                  <w:r w:rsidRPr="003563C8">
                    <w:rPr>
                      <w:rFonts w:ascii="Verdana" w:eastAsia="Times New Roman" w:hAnsi="Verdana" w:cs="Times New Roman"/>
                      <w:color w:val="000000"/>
                      <w:sz w:val="20"/>
                      <w:lang w:eastAsia="fr-FR"/>
                    </w:rPr>
                    <w:t xml:space="preserve">A ce titre, elle est notamment chargée de </w:t>
                  </w:r>
                  <w:proofErr w:type="gramStart"/>
                  <w:r w:rsidRPr="003563C8">
                    <w:rPr>
                      <w:rFonts w:ascii="Verdana" w:eastAsia="Times New Roman" w:hAnsi="Verdana" w:cs="Times New Roman"/>
                      <w:color w:val="000000"/>
                      <w:sz w:val="20"/>
                      <w:lang w:eastAsia="fr-FR"/>
                    </w:rPr>
                    <w:t>:</w:t>
                  </w:r>
                  <w:proofErr w:type="gramEnd"/>
                  <w:r w:rsidRPr="003563C8">
                    <w:rPr>
                      <w:rFonts w:ascii="Verdana" w:eastAsia="Times New Roman" w:hAnsi="Verdana" w:cs="Times New Roman"/>
                      <w:color w:val="000000"/>
                      <w:sz w:val="20"/>
                      <w:szCs w:val="20"/>
                      <w:lang w:eastAsia="fr-FR"/>
                    </w:rPr>
                    <w:br/>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0" name="Image 10"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lang w:eastAsia="fr-FR"/>
                    </w:rPr>
                    <w:t>Recevoir en dépôt des valeurs mobilières.</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1" name="Image 11"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lang w:eastAsia="fr-FR"/>
                    </w:rPr>
                    <w:t>Tenir des comptes au profit des émetteurs, des intermédiaires en bourse et des </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2" name="Image 12" descr="http://www.cmf.org.tn/img/puc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mf.org.tn/img/puceb.gif"/>
                                <pic:cNvPicPr>
                                  <a:picLocks noChangeAspect="1" noChangeArrowheads="1"/>
                                </pic:cNvPicPr>
                              </pic:nvPicPr>
                              <pic:blipFill>
                                <a:blip r:embed="rId12"/>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lang w:eastAsia="fr-FR"/>
                    </w:rPr>
                    <w:t>propriétaires de valeurs mobilières.</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3" name="Image 13"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lang w:eastAsia="fr-FR"/>
                    </w:rPr>
                    <w:t>Assurer le dénouement des opérations de compensation et le règlement des opérations.</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4" name="Image 14"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lang w:eastAsia="fr-FR"/>
                    </w:rPr>
                    <w:t>Inscrire les nantissements, oppositions et autres charges pesant sur les titres</w:t>
                  </w:r>
                  <w:r w:rsidRPr="003563C8">
                    <w:rPr>
                      <w:rFonts w:ascii="Verdana" w:eastAsia="Times New Roman" w:hAnsi="Verdana" w:cs="Times New Roman"/>
                      <w:color w:val="000000"/>
                      <w:sz w:val="20"/>
                      <w:szCs w:val="20"/>
                      <w:lang w:eastAsia="fr-FR"/>
                    </w:rPr>
                    <w:t>.</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szCs w:val="20"/>
                      <w:lang w:eastAsia="fr-FR"/>
                    </w:rPr>
                    <w:t> </w:t>
                  </w:r>
                </w:p>
                <w:p w:rsidR="003563C8" w:rsidRPr="003563C8" w:rsidRDefault="003563C8" w:rsidP="003563C8">
                  <w:pPr>
                    <w:shd w:val="clear" w:color="auto" w:fill="99CCFF"/>
                    <w:spacing w:before="100" w:beforeAutospacing="1" w:after="100" w:afterAutospacing="1" w:line="300" w:lineRule="atLeast"/>
                    <w:jc w:val="center"/>
                    <w:rPr>
                      <w:rFonts w:ascii="Verdana" w:eastAsia="Times New Roman" w:hAnsi="Verdana" w:cs="Times New Roman"/>
                      <w:b/>
                      <w:bCs/>
                      <w:color w:val="000000"/>
                      <w:sz w:val="17"/>
                      <w:szCs w:val="17"/>
                      <w:lang w:eastAsia="fr-FR"/>
                    </w:rPr>
                  </w:pPr>
                  <w:bookmarkStart w:id="2" w:name="ib"/>
                  <w:bookmarkEnd w:id="2"/>
                  <w:r w:rsidRPr="003563C8">
                    <w:rPr>
                      <w:rFonts w:ascii="Verdana" w:eastAsia="Times New Roman" w:hAnsi="Verdana" w:cs="Times New Roman"/>
                      <w:b/>
                      <w:bCs/>
                      <w:color w:val="000000"/>
                      <w:sz w:val="17"/>
                      <w:szCs w:val="17"/>
                      <w:lang w:eastAsia="fr-FR"/>
                    </w:rPr>
                    <w:t>Les Intermédiaires en bourse</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szCs w:val="20"/>
                      <w:lang w:eastAsia="fr-FR"/>
                    </w:rPr>
                    <w:t>Les intermédiaires en bourse sont les agents chargés par la loi, à l'exclusion de toute autre personne, de la négociation et de l'enregistrement des valeurs mobilières à la Bourse des Valeurs Mobilières BVMT de Tunis. Le</w:t>
                  </w:r>
                  <w:r w:rsidRPr="003563C8">
                    <w:rPr>
                      <w:rFonts w:ascii="Verdana" w:eastAsia="Times New Roman" w:hAnsi="Verdana" w:cs="Times New Roman"/>
                      <w:color w:val="000000"/>
                      <w:sz w:val="20"/>
                      <w:lang w:eastAsia="fr-FR"/>
                    </w:rPr>
                    <w:t> </w:t>
                  </w:r>
                  <w:r w:rsidRPr="003563C8">
                    <w:rPr>
                      <w:rFonts w:ascii="Tahoma" w:eastAsia="Times New Roman" w:hAnsi="Tahoma" w:cs="Tahoma"/>
                      <w:b/>
                      <w:bCs/>
                      <w:color w:val="000066"/>
                      <w:sz w:val="20"/>
                      <w:lang w:eastAsia="fr-FR"/>
                    </w:rPr>
                    <w:t>décret 99 - 2478</w:t>
                  </w:r>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t>du 1er novembre 1999 portant statut des</w:t>
                  </w:r>
                  <w:r w:rsidRPr="003563C8">
                    <w:rPr>
                      <w:rFonts w:ascii="Verdana" w:eastAsia="Times New Roman" w:hAnsi="Verdana" w:cs="Times New Roman"/>
                      <w:color w:val="000000"/>
                      <w:sz w:val="20"/>
                      <w:lang w:eastAsia="fr-FR"/>
                    </w:rPr>
                    <w:t> </w:t>
                  </w:r>
                  <w:hyperlink r:id="rId23" w:history="1">
                    <w:r w:rsidRPr="003563C8">
                      <w:rPr>
                        <w:rFonts w:ascii="Tahoma" w:eastAsia="Times New Roman" w:hAnsi="Tahoma" w:cs="Tahoma"/>
                        <w:b/>
                        <w:bCs/>
                        <w:color w:val="000066"/>
                        <w:sz w:val="20"/>
                        <w:lang w:eastAsia="fr-FR"/>
                      </w:rPr>
                      <w:t>intermédiaires en bourse</w:t>
                    </w:r>
                  </w:hyperlink>
                  <w:r w:rsidRPr="003563C8">
                    <w:rPr>
                      <w:rFonts w:ascii="Verdana" w:eastAsia="Times New Roman" w:hAnsi="Verdana" w:cs="Times New Roman"/>
                      <w:color w:val="000000"/>
                      <w:sz w:val="20"/>
                      <w:lang w:eastAsia="fr-FR"/>
                    </w:rPr>
                    <w:t> </w:t>
                  </w:r>
                  <w:r w:rsidRPr="003563C8">
                    <w:rPr>
                      <w:rFonts w:ascii="Verdana" w:eastAsia="Times New Roman" w:hAnsi="Verdana" w:cs="Times New Roman"/>
                      <w:color w:val="000000"/>
                      <w:sz w:val="20"/>
                      <w:szCs w:val="20"/>
                      <w:lang w:eastAsia="fr-FR"/>
                    </w:rPr>
                    <w:t>détermine les opérations qu'ils peuvent accomplir, telles que:</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5" name="Image 15"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Le conseil et le démarchage financiers.</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6" name="Image 16"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La gestion individuelle ou collective de valeurs mobilières.</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7" name="Image 17"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Le placement de valeurs mobilières dans le public à l'occasion d'opérations d'émissions ou</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8" name="Image 18" descr="http://www.cmf.org.tn/img/puc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mf.org.tn/img/puceb.gif"/>
                                <pic:cNvPicPr>
                                  <a:picLocks noChangeAspect="1" noChangeArrowheads="1"/>
                                </pic:cNvPicPr>
                              </pic:nvPicPr>
                              <pic:blipFill>
                                <a:blip r:embed="rId12"/>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d'offres publiques.</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19" name="Image 19"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La garantie de bonne fin d'émissions de titres ainsi que la contrepartie et la tenue de marché.</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szCs w:val="20"/>
                      <w:lang w:eastAsia="fr-FR"/>
                    </w:rPr>
                    <w:t>Ce statut fixe également les conditions requises pour l'agrément de l'activité d'intermédiaire en bourse, ainsi que les obligations déontologiques leur incombant.</w:t>
                  </w:r>
                </w:p>
                <w:p w:rsidR="003563C8" w:rsidRPr="003563C8" w:rsidRDefault="003563C8" w:rsidP="003563C8">
                  <w:pPr>
                    <w:spacing w:before="100" w:beforeAutospacing="1" w:after="100" w:afterAutospacing="1" w:line="240" w:lineRule="auto"/>
                    <w:rPr>
                      <w:rFonts w:ascii="Times New Roman" w:eastAsia="Times New Roman" w:hAnsi="Times New Roman" w:cs="Times New Roman"/>
                      <w:sz w:val="24"/>
                      <w:szCs w:val="24"/>
                      <w:lang w:eastAsia="fr-FR"/>
                    </w:rPr>
                  </w:pPr>
                  <w:r w:rsidRPr="003563C8">
                    <w:rPr>
                      <w:rFonts w:ascii="Times New Roman" w:eastAsia="Times New Roman" w:hAnsi="Times New Roman" w:cs="Times New Roman"/>
                      <w:sz w:val="24"/>
                      <w:szCs w:val="24"/>
                      <w:lang w:eastAsia="fr-FR"/>
                    </w:rPr>
                    <w:t> </w:t>
                  </w:r>
                </w:p>
                <w:p w:rsidR="003563C8" w:rsidRPr="003563C8" w:rsidRDefault="003563C8" w:rsidP="003563C8">
                  <w:pPr>
                    <w:shd w:val="clear" w:color="auto" w:fill="99CCFF"/>
                    <w:spacing w:before="100" w:beforeAutospacing="1" w:after="100" w:afterAutospacing="1" w:line="300" w:lineRule="atLeast"/>
                    <w:jc w:val="center"/>
                    <w:rPr>
                      <w:rFonts w:ascii="Verdana" w:eastAsia="Times New Roman" w:hAnsi="Verdana" w:cs="Times New Roman"/>
                      <w:b/>
                      <w:bCs/>
                      <w:color w:val="000000"/>
                      <w:sz w:val="17"/>
                      <w:szCs w:val="17"/>
                      <w:lang w:eastAsia="fr-FR"/>
                    </w:rPr>
                  </w:pPr>
                  <w:bookmarkStart w:id="3" w:name="aib"/>
                  <w:bookmarkEnd w:id="3"/>
                  <w:r w:rsidRPr="003563C8">
                    <w:rPr>
                      <w:rFonts w:ascii="Verdana" w:eastAsia="Times New Roman" w:hAnsi="Verdana" w:cs="Times New Roman"/>
                      <w:b/>
                      <w:bCs/>
                      <w:color w:val="000000"/>
                      <w:sz w:val="17"/>
                      <w:szCs w:val="17"/>
                      <w:lang w:eastAsia="fr-FR"/>
                    </w:rPr>
                    <w:t>L'Association des Intermédiaires en Bourse</w:t>
                  </w:r>
                </w:p>
                <w:p w:rsidR="003563C8" w:rsidRPr="003563C8" w:rsidRDefault="003563C8" w:rsidP="003563C8">
                  <w:pPr>
                    <w:spacing w:before="100" w:beforeAutospacing="1" w:after="100" w:afterAutospacing="1" w:line="240" w:lineRule="auto"/>
                    <w:rPr>
                      <w:rFonts w:ascii="Times New Roman" w:eastAsia="Times New Roman" w:hAnsi="Times New Roman" w:cs="Times New Roman"/>
                      <w:sz w:val="24"/>
                      <w:szCs w:val="24"/>
                      <w:lang w:eastAsia="fr-FR"/>
                    </w:rPr>
                  </w:pP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20" name="Image 20"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lang w:eastAsia="fr-FR"/>
                    </w:rPr>
                    <w:t>L'AIB est une association chargée de la défense des intérêts des intermédiaires en bourse.</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21" name="Image 21"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lang w:eastAsia="fr-FR"/>
                    </w:rPr>
                    <w:t>Elle donne son avis sur les questions intéressant la profession.</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22" name="Image 22"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lang w:eastAsia="fr-FR"/>
                    </w:rPr>
                    <w:t>Elle fait toute proposition concernant le développement du marché financier.</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23" name="Image 23"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lang w:eastAsia="fr-FR"/>
                    </w:rPr>
                    <w:t>Elle administre le </w:t>
                  </w:r>
                  <w:hyperlink r:id="rId24" w:anchor="fgm" w:tgtFrame="_self" w:history="1">
                    <w:r w:rsidRPr="003563C8">
                      <w:rPr>
                        <w:rFonts w:ascii="Tahoma" w:eastAsia="Times New Roman" w:hAnsi="Tahoma" w:cs="Tahoma"/>
                        <w:b/>
                        <w:bCs/>
                        <w:color w:val="000066"/>
                        <w:sz w:val="20"/>
                        <w:lang w:eastAsia="fr-FR"/>
                      </w:rPr>
                      <w:t>fonds de garantie de marché</w:t>
                    </w:r>
                  </w:hyperlink>
                  <w:r w:rsidRPr="003563C8">
                    <w:rPr>
                      <w:rFonts w:ascii="Verdana" w:eastAsia="Times New Roman" w:hAnsi="Verdana" w:cs="Times New Roman"/>
                      <w:color w:val="000000"/>
                      <w:sz w:val="20"/>
                      <w:lang w:eastAsia="fr-FR"/>
                    </w:rPr>
                    <w:t>.</w:t>
                  </w:r>
                </w:p>
                <w:p w:rsidR="003563C8" w:rsidRPr="003563C8" w:rsidRDefault="003563C8" w:rsidP="003563C8">
                  <w:pPr>
                    <w:spacing w:before="100" w:beforeAutospacing="1" w:after="100" w:afterAutospacing="1" w:line="240" w:lineRule="auto"/>
                    <w:rPr>
                      <w:rFonts w:ascii="Times New Roman" w:eastAsia="Times New Roman" w:hAnsi="Times New Roman" w:cs="Times New Roman"/>
                      <w:sz w:val="24"/>
                      <w:szCs w:val="24"/>
                      <w:lang w:eastAsia="fr-FR"/>
                    </w:rPr>
                  </w:pPr>
                  <w:r w:rsidRPr="003563C8">
                    <w:rPr>
                      <w:rFonts w:ascii="Times New Roman" w:eastAsia="Times New Roman" w:hAnsi="Times New Roman" w:cs="Times New Roman"/>
                      <w:sz w:val="24"/>
                      <w:szCs w:val="24"/>
                      <w:lang w:eastAsia="fr-FR"/>
                    </w:rPr>
                    <w:t> </w:t>
                  </w:r>
                </w:p>
                <w:p w:rsidR="003563C8" w:rsidRPr="003563C8" w:rsidRDefault="003563C8" w:rsidP="003563C8">
                  <w:pPr>
                    <w:shd w:val="clear" w:color="auto" w:fill="99CCFF"/>
                    <w:spacing w:before="100" w:beforeAutospacing="1" w:after="100" w:afterAutospacing="1" w:line="300" w:lineRule="atLeast"/>
                    <w:jc w:val="center"/>
                    <w:rPr>
                      <w:rFonts w:ascii="Verdana" w:eastAsia="Times New Roman" w:hAnsi="Verdana" w:cs="Times New Roman"/>
                      <w:b/>
                      <w:bCs/>
                      <w:color w:val="000000"/>
                      <w:sz w:val="17"/>
                      <w:szCs w:val="17"/>
                      <w:lang w:eastAsia="fr-FR"/>
                    </w:rPr>
                  </w:pPr>
                  <w:bookmarkStart w:id="4" w:name="fgm"/>
                  <w:bookmarkEnd w:id="4"/>
                  <w:r w:rsidRPr="003563C8">
                    <w:rPr>
                      <w:rFonts w:ascii="Verdana" w:eastAsia="Times New Roman" w:hAnsi="Verdana" w:cs="Times New Roman"/>
                      <w:b/>
                      <w:bCs/>
                      <w:color w:val="000000"/>
                      <w:sz w:val="17"/>
                      <w:lang w:eastAsia="fr-FR"/>
                    </w:rPr>
                    <w:t>FGM : Le Fonds de Garantie du Marché</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sidRPr="003563C8">
                    <w:rPr>
                      <w:rFonts w:ascii="Verdana" w:eastAsia="Times New Roman" w:hAnsi="Verdana" w:cs="Times New Roman"/>
                      <w:color w:val="000000"/>
                      <w:sz w:val="20"/>
                      <w:szCs w:val="20"/>
                      <w:lang w:eastAsia="fr-FR"/>
                    </w:rPr>
                    <w:t>P</w:t>
                  </w:r>
                  <w:r w:rsidRPr="003563C8">
                    <w:rPr>
                      <w:rFonts w:ascii="Verdana" w:eastAsia="Times New Roman" w:hAnsi="Verdana" w:cs="Times New Roman"/>
                      <w:color w:val="000000"/>
                      <w:sz w:val="20"/>
                      <w:lang w:eastAsia="fr-FR"/>
                    </w:rPr>
                    <w:t>révu par le Règlement Général de la Bourse (</w:t>
                  </w:r>
                  <w:hyperlink r:id="rId25" w:tgtFrame="_self" w:history="1">
                    <w:r w:rsidRPr="003563C8">
                      <w:rPr>
                        <w:rFonts w:ascii="Tahoma" w:eastAsia="Times New Roman" w:hAnsi="Tahoma" w:cs="Tahoma"/>
                        <w:b/>
                        <w:bCs/>
                        <w:color w:val="000066"/>
                        <w:sz w:val="20"/>
                        <w:lang w:eastAsia="fr-FR"/>
                      </w:rPr>
                      <w:t>article 12</w:t>
                    </w:r>
                  </w:hyperlink>
                  <w:r w:rsidRPr="003563C8">
                    <w:rPr>
                      <w:rFonts w:ascii="Verdana" w:eastAsia="Times New Roman" w:hAnsi="Verdana" w:cs="Times New Roman"/>
                      <w:color w:val="000000"/>
                      <w:sz w:val="20"/>
                      <w:lang w:eastAsia="fr-FR"/>
                    </w:rPr>
                    <w:t>), ce fonds, constitué par les intermédiaires en bourse, est destiné à garantir la bonne fin des opérations négociées sur le marché, en cas de défaillance dans le règlement ou la livraison.</w:t>
                  </w:r>
                  <w:r w:rsidRPr="003563C8">
                    <w:rPr>
                      <w:rFonts w:ascii="Verdana" w:eastAsia="Times New Roman" w:hAnsi="Verdana" w:cs="Times New Roman"/>
                      <w:color w:val="000000"/>
                      <w:sz w:val="20"/>
                      <w:szCs w:val="20"/>
                      <w:lang w:eastAsia="fr-FR"/>
                    </w:rPr>
                    <w:br/>
                  </w:r>
                  <w:r w:rsidRPr="003563C8">
                    <w:rPr>
                      <w:rFonts w:ascii="Verdana" w:eastAsia="Times New Roman" w:hAnsi="Verdana" w:cs="Times New Roman"/>
                      <w:color w:val="000000"/>
                      <w:sz w:val="20"/>
                      <w:lang w:eastAsia="fr-FR"/>
                    </w:rPr>
                    <w:t xml:space="preserve">Les contributions financières au Fonds de Garantie de Marché sont effectuées par les intermédiaires en bourse. </w:t>
                  </w:r>
                  <w:proofErr w:type="gramStart"/>
                  <w:r w:rsidRPr="003563C8">
                    <w:rPr>
                      <w:rFonts w:ascii="Verdana" w:eastAsia="Times New Roman" w:hAnsi="Verdana" w:cs="Times New Roman"/>
                      <w:color w:val="000000"/>
                      <w:sz w:val="20"/>
                      <w:lang w:eastAsia="fr-FR"/>
                    </w:rPr>
                    <w:t>Elle sont</w:t>
                  </w:r>
                  <w:proofErr w:type="gramEnd"/>
                  <w:r w:rsidRPr="003563C8">
                    <w:rPr>
                      <w:rFonts w:ascii="Verdana" w:eastAsia="Times New Roman" w:hAnsi="Verdana" w:cs="Times New Roman"/>
                      <w:color w:val="000000"/>
                      <w:sz w:val="20"/>
                      <w:lang w:eastAsia="fr-FR"/>
                    </w:rPr>
                    <w:t xml:space="preserve"> de trois sortes:</w:t>
                  </w:r>
                </w:p>
                <w:p w:rsidR="003563C8" w:rsidRPr="003563C8" w:rsidRDefault="003563C8" w:rsidP="003563C8">
                  <w:pPr>
                    <w:spacing w:before="100" w:beforeAutospacing="1" w:after="100" w:afterAutospacing="1" w:line="240" w:lineRule="auto"/>
                    <w:rPr>
                      <w:rFonts w:ascii="Verdana" w:eastAsia="Times New Roman" w:hAnsi="Verdana" w:cs="Times New Roman"/>
                      <w:color w:val="000000"/>
                      <w:sz w:val="20"/>
                      <w:szCs w:val="20"/>
                      <w:lang w:eastAsia="fr-FR"/>
                    </w:rPr>
                  </w:pP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24" name="Image 24"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une contribution initiale</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25" name="Image 25"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une contribution régulière</w:t>
                  </w:r>
                  <w:r w:rsidRPr="003563C8">
                    <w:rPr>
                      <w:rFonts w:ascii="Verdana" w:eastAsia="Times New Roman" w:hAnsi="Verdana" w:cs="Times New Roman"/>
                      <w:color w:val="000000"/>
                      <w:sz w:val="20"/>
                      <w:szCs w:val="20"/>
                      <w:lang w:eastAsia="fr-FR"/>
                    </w:rPr>
                    <w:br/>
                  </w:r>
                  <w:r>
                    <w:rPr>
                      <w:rFonts w:ascii="Verdana" w:eastAsia="Times New Roman" w:hAnsi="Verdana" w:cs="Times New Roman"/>
                      <w:noProof/>
                      <w:color w:val="000000"/>
                      <w:sz w:val="20"/>
                      <w:szCs w:val="20"/>
                      <w:lang w:eastAsia="fr-FR"/>
                    </w:rPr>
                    <w:drawing>
                      <wp:inline distT="0" distB="0" distL="0" distR="0">
                        <wp:extent cx="66675" cy="66675"/>
                        <wp:effectExtent l="19050" t="0" r="9525" b="0"/>
                        <wp:docPr id="26" name="Image 26"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3563C8">
                    <w:rPr>
                      <w:rFonts w:ascii="Verdana" w:eastAsia="Times New Roman" w:hAnsi="Verdana" w:cs="Times New Roman"/>
                      <w:color w:val="000000"/>
                      <w:sz w:val="20"/>
                      <w:szCs w:val="20"/>
                      <w:lang w:eastAsia="fr-FR"/>
                    </w:rPr>
                    <w:t>une contribution exceptionnelle.</w:t>
                  </w:r>
                </w:p>
              </w:tc>
            </w:tr>
          </w:tbl>
          <w:p w:rsidR="003563C8" w:rsidRPr="003563C8" w:rsidRDefault="003563C8" w:rsidP="003563C8">
            <w:pPr>
              <w:spacing w:after="0" w:line="240" w:lineRule="auto"/>
              <w:rPr>
                <w:rFonts w:ascii="Tahoma" w:eastAsia="Times New Roman" w:hAnsi="Tahoma" w:cs="Tahoma"/>
                <w:color w:val="000000"/>
                <w:sz w:val="17"/>
                <w:szCs w:val="17"/>
                <w:lang w:eastAsia="fr-FR"/>
              </w:rPr>
            </w:pPr>
          </w:p>
        </w:tc>
      </w:tr>
      <w:tr w:rsidR="00732EE3" w:rsidRPr="00732EE3" w:rsidTr="00732EE3">
        <w:trPr>
          <w:trHeight w:val="25350"/>
          <w:tblCellSpacing w:w="22" w:type="dxa"/>
          <w:jc w:val="center"/>
        </w:trPr>
        <w:tc>
          <w:tcPr>
            <w:tcW w:w="0" w:type="auto"/>
            <w:tcBorders>
              <w:left w:val="single" w:sz="6" w:space="0" w:color="000066"/>
              <w:bottom w:val="single" w:sz="6" w:space="0" w:color="000066"/>
              <w:right w:val="single" w:sz="6" w:space="0" w:color="000066"/>
            </w:tcBorders>
            <w:shd w:val="clear" w:color="auto" w:fill="FFFFFF"/>
            <w:vAlign w:val="center"/>
            <w:hideMark/>
          </w:tcPr>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lastRenderedPageBreak/>
              <w:t>A ce titre, elle est notamment chargée de :</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53" name="Image 53"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Recevoir en dépôt des valeurs mobilières.</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54" name="Image 54"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Tenir des comptes au profit des émetteurs, des intermédiaires en bourse et des </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55" name="Image 55" descr="http://www.cmf.org.tn/img/puc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mf.org.tn/img/puceb.gif"/>
                          <pic:cNvPicPr>
                            <a:picLocks noChangeAspect="1" noChangeArrowheads="1"/>
                          </pic:cNvPicPr>
                        </pic:nvPicPr>
                        <pic:blipFill>
                          <a:blip r:embed="rId12"/>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propriétaires de valeurs mobilières.</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56" name="Image 56"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Assurer le dénouement des opérations de compensation et le règlement des opérations.</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57" name="Image 57"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Inscrire les nantissements, oppositions et autres charges pesant sur les titres.</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t> </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t>Les Intermédiaires en bourse</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t>Les intermédiaires en bourse sont les agents chargés par la loi, à l'exclusion de toute autre personne, de la négociation et de l'enregistrement des valeurs mobilières à la Bourse des Valeurs Mobilières BVMT de Tunis. Le décret 99 - 2478 du 1er novembre 1999 portant statut des </w:t>
            </w:r>
            <w:hyperlink r:id="rId26" w:history="1">
              <w:r w:rsidRPr="00732EE3">
                <w:rPr>
                  <w:rStyle w:val="Lienhypertexte"/>
                  <w:rFonts w:ascii="Tahoma" w:eastAsia="Times New Roman" w:hAnsi="Tahoma" w:cs="Tahoma"/>
                  <w:sz w:val="17"/>
                  <w:szCs w:val="17"/>
                  <w:lang w:eastAsia="fr-FR"/>
                </w:rPr>
                <w:t>intermédiaires en bourse</w:t>
              </w:r>
            </w:hyperlink>
            <w:r w:rsidRPr="00732EE3">
              <w:rPr>
                <w:rFonts w:ascii="Tahoma" w:eastAsia="Times New Roman" w:hAnsi="Tahoma" w:cs="Tahoma"/>
                <w:color w:val="000000"/>
                <w:sz w:val="17"/>
                <w:szCs w:val="17"/>
                <w:lang w:eastAsia="fr-FR"/>
              </w:rPr>
              <w:t> détermine les opérations qu'ils peuvent accomplir, telles que:</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drawing>
                <wp:inline distT="0" distB="0" distL="0" distR="0">
                  <wp:extent cx="66675" cy="66675"/>
                  <wp:effectExtent l="19050" t="0" r="9525" b="0"/>
                  <wp:docPr id="58" name="Image 58"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Le conseil et le démarchage financiers.</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59" name="Image 59"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La gestion individuelle ou collective de valeurs mobilières.</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60" name="Image 60"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Le placement de valeurs mobilières dans le public à l'occasion d'opérations d'émissions ou</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61" name="Image 61" descr="http://www.cmf.org.tn/img/puc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mf.org.tn/img/puceb.gif"/>
                          <pic:cNvPicPr>
                            <a:picLocks noChangeAspect="1" noChangeArrowheads="1"/>
                          </pic:cNvPicPr>
                        </pic:nvPicPr>
                        <pic:blipFill>
                          <a:blip r:embed="rId12"/>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d'offres publiques.</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62" name="Image 62"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La garantie de bonne fin d'émissions de titres ainsi que la contrepartie et la tenue de marché.</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t>Ce statut fixe également les conditions requises pour l'agrément de l'activité d'intermédiaire en bourse, ainsi que les obligations déontologiques leur incombant.</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t> </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t>L'Association des Intermédiaires en Bourse</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drawing>
                <wp:inline distT="0" distB="0" distL="0" distR="0">
                  <wp:extent cx="66675" cy="66675"/>
                  <wp:effectExtent l="19050" t="0" r="9525" b="0"/>
                  <wp:docPr id="63" name="Image 63"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L'AIB est une association chargée de la défense des intérêts des intermédiaires en bourse.</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64" name="Image 64"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Elle donne son avis sur les questions intéressant la profession.</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65" name="Image 65"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Elle fait toute proposition concernant le développement du marché financier.</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66" name="Image 66"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Elle administre le </w:t>
            </w:r>
            <w:hyperlink r:id="rId27" w:anchor="fgm" w:tgtFrame="_self" w:history="1">
              <w:r w:rsidRPr="00732EE3">
                <w:rPr>
                  <w:rStyle w:val="Lienhypertexte"/>
                  <w:rFonts w:ascii="Tahoma" w:eastAsia="Times New Roman" w:hAnsi="Tahoma" w:cs="Tahoma"/>
                  <w:sz w:val="17"/>
                  <w:szCs w:val="17"/>
                  <w:lang w:eastAsia="fr-FR"/>
                </w:rPr>
                <w:t>fonds de garantie de marché</w:t>
              </w:r>
            </w:hyperlink>
            <w:r w:rsidRPr="00732EE3">
              <w:rPr>
                <w:rFonts w:ascii="Tahoma" w:eastAsia="Times New Roman" w:hAnsi="Tahoma" w:cs="Tahoma"/>
                <w:color w:val="000000"/>
                <w:sz w:val="17"/>
                <w:szCs w:val="17"/>
                <w:lang w:eastAsia="fr-FR"/>
              </w:rPr>
              <w:t>.</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t> </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t>FGM : Le Fonds de Garantie du Marché</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t>Prévu par le Règlement Général de la Bourse (</w:t>
            </w:r>
            <w:hyperlink r:id="rId28" w:tgtFrame="_self" w:history="1">
              <w:r w:rsidRPr="00732EE3">
                <w:rPr>
                  <w:rStyle w:val="Lienhypertexte"/>
                  <w:rFonts w:ascii="Tahoma" w:eastAsia="Times New Roman" w:hAnsi="Tahoma" w:cs="Tahoma"/>
                  <w:sz w:val="17"/>
                  <w:szCs w:val="17"/>
                  <w:lang w:eastAsia="fr-FR"/>
                </w:rPr>
                <w:t>article 12</w:t>
              </w:r>
            </w:hyperlink>
            <w:r w:rsidRPr="00732EE3">
              <w:rPr>
                <w:rFonts w:ascii="Tahoma" w:eastAsia="Times New Roman" w:hAnsi="Tahoma" w:cs="Tahoma"/>
                <w:color w:val="000000"/>
                <w:sz w:val="17"/>
                <w:szCs w:val="17"/>
                <w:lang w:eastAsia="fr-FR"/>
              </w:rPr>
              <w:t>), ce fonds, constitué par les intermédiaires en bourse, est destiné à garantir la bonne fin des opérations négociées sur le marché, en cas de défaillance dans le règlement ou la livraison.</w:t>
            </w:r>
            <w:r w:rsidRPr="00732EE3">
              <w:rPr>
                <w:rFonts w:ascii="Tahoma" w:eastAsia="Times New Roman" w:hAnsi="Tahoma" w:cs="Tahoma"/>
                <w:color w:val="000000"/>
                <w:sz w:val="17"/>
                <w:szCs w:val="17"/>
                <w:lang w:eastAsia="fr-FR"/>
              </w:rPr>
              <w:br/>
              <w:t xml:space="preserve">Les contributions financières au Fonds de Garantie de Marché sont effectuées par les intermédiaires en bourse. </w:t>
            </w:r>
            <w:proofErr w:type="gramStart"/>
            <w:r w:rsidRPr="00732EE3">
              <w:rPr>
                <w:rFonts w:ascii="Tahoma" w:eastAsia="Times New Roman" w:hAnsi="Tahoma" w:cs="Tahoma"/>
                <w:color w:val="000000"/>
                <w:sz w:val="17"/>
                <w:szCs w:val="17"/>
                <w:lang w:eastAsia="fr-FR"/>
              </w:rPr>
              <w:t>Elle sont</w:t>
            </w:r>
            <w:proofErr w:type="gramEnd"/>
            <w:r w:rsidRPr="00732EE3">
              <w:rPr>
                <w:rFonts w:ascii="Tahoma" w:eastAsia="Times New Roman" w:hAnsi="Tahoma" w:cs="Tahoma"/>
                <w:color w:val="000000"/>
                <w:sz w:val="17"/>
                <w:szCs w:val="17"/>
                <w:lang w:eastAsia="fr-FR"/>
              </w:rPr>
              <w:t xml:space="preserve"> de trois sortes:</w:t>
            </w:r>
          </w:p>
          <w:p w:rsidR="00732EE3" w:rsidRPr="00732EE3" w:rsidRDefault="00732EE3" w:rsidP="00732EE3">
            <w:pPr>
              <w:spacing w:after="0" w:line="240" w:lineRule="auto"/>
              <w:rPr>
                <w:rFonts w:ascii="Tahoma" w:eastAsia="Times New Roman" w:hAnsi="Tahoma" w:cs="Tahoma"/>
                <w:color w:val="000000"/>
                <w:sz w:val="17"/>
                <w:szCs w:val="17"/>
                <w:lang w:eastAsia="fr-FR"/>
              </w:rPr>
            </w:pPr>
            <w:r w:rsidRPr="00732EE3">
              <w:rPr>
                <w:rFonts w:ascii="Tahoma" w:eastAsia="Times New Roman" w:hAnsi="Tahoma" w:cs="Tahoma"/>
                <w:color w:val="000000"/>
                <w:sz w:val="17"/>
                <w:szCs w:val="17"/>
                <w:lang w:eastAsia="fr-FR"/>
              </w:rPr>
              <w:drawing>
                <wp:inline distT="0" distB="0" distL="0" distR="0">
                  <wp:extent cx="66675" cy="66675"/>
                  <wp:effectExtent l="19050" t="0" r="9525" b="0"/>
                  <wp:docPr id="67" name="Image 67"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une contribution initiale</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68" name="Image 68"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une contribution régulière</w:t>
            </w:r>
            <w:r w:rsidRPr="00732EE3">
              <w:rPr>
                <w:rFonts w:ascii="Tahoma" w:eastAsia="Times New Roman" w:hAnsi="Tahoma" w:cs="Tahoma"/>
                <w:color w:val="000000"/>
                <w:sz w:val="17"/>
                <w:szCs w:val="17"/>
                <w:lang w:eastAsia="fr-FR"/>
              </w:rPr>
              <w:br/>
            </w:r>
            <w:r w:rsidRPr="00732EE3">
              <w:rPr>
                <w:rFonts w:ascii="Tahoma" w:eastAsia="Times New Roman" w:hAnsi="Tahoma" w:cs="Tahoma"/>
                <w:color w:val="000000"/>
                <w:sz w:val="17"/>
                <w:szCs w:val="17"/>
                <w:lang w:eastAsia="fr-FR"/>
              </w:rPr>
              <w:drawing>
                <wp:inline distT="0" distB="0" distL="0" distR="0">
                  <wp:extent cx="66675" cy="66675"/>
                  <wp:effectExtent l="19050" t="0" r="9525" b="0"/>
                  <wp:docPr id="69" name="Image 69" descr="http://www.cmf.org.tn/img/puc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mf.org.tn/img/puce002.gif"/>
                          <pic:cNvPicPr>
                            <a:picLocks noChangeAspect="1" noChangeArrowheads="1"/>
                          </pic:cNvPicPr>
                        </pic:nvPicPr>
                        <pic:blipFill>
                          <a:blip r:embed="rId1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732EE3">
              <w:rPr>
                <w:rFonts w:ascii="Tahoma" w:eastAsia="Times New Roman" w:hAnsi="Tahoma" w:cs="Tahoma"/>
                <w:color w:val="000000"/>
                <w:sz w:val="17"/>
                <w:szCs w:val="17"/>
                <w:lang w:eastAsia="fr-FR"/>
              </w:rPr>
              <w:t>une contribution exceptionnelle.</w:t>
            </w:r>
          </w:p>
        </w:tc>
      </w:tr>
    </w:tbl>
    <w:p w:rsidR="003563C8" w:rsidRDefault="003563C8"/>
    <w:sectPr w:rsidR="003563C8" w:rsidSect="007C06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34736"/>
    <w:multiLevelType w:val="multilevel"/>
    <w:tmpl w:val="35BA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F4EAD"/>
    <w:multiLevelType w:val="multilevel"/>
    <w:tmpl w:val="E13A0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8413A9"/>
    <w:multiLevelType w:val="multilevel"/>
    <w:tmpl w:val="EFB4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0A4A"/>
    <w:rsid w:val="00313D08"/>
    <w:rsid w:val="003563C8"/>
    <w:rsid w:val="005D41B0"/>
    <w:rsid w:val="006D4AD8"/>
    <w:rsid w:val="00732EE3"/>
    <w:rsid w:val="007C06AE"/>
    <w:rsid w:val="007F0A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0A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F0A4A"/>
  </w:style>
  <w:style w:type="character" w:styleId="lev">
    <w:name w:val="Strong"/>
    <w:basedOn w:val="Policepardfaut"/>
    <w:uiPriority w:val="22"/>
    <w:qFormat/>
    <w:rsid w:val="007F0A4A"/>
    <w:rPr>
      <w:b/>
      <w:bCs/>
    </w:rPr>
  </w:style>
  <w:style w:type="character" w:styleId="Lienhypertexte">
    <w:name w:val="Hyperlink"/>
    <w:basedOn w:val="Policepardfaut"/>
    <w:uiPriority w:val="99"/>
    <w:unhideWhenUsed/>
    <w:rsid w:val="007F0A4A"/>
    <w:rPr>
      <w:color w:val="0000FF"/>
      <w:u w:val="single"/>
    </w:rPr>
  </w:style>
  <w:style w:type="paragraph" w:customStyle="1" w:styleId="text">
    <w:name w:val="text"/>
    <w:basedOn w:val="Normal"/>
    <w:rsid w:val="003563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enstxt">
    <w:name w:val="lienstxt"/>
    <w:basedOn w:val="Policepardfaut"/>
    <w:rsid w:val="003563C8"/>
  </w:style>
  <w:style w:type="character" w:customStyle="1" w:styleId="text1">
    <w:name w:val="text1"/>
    <w:basedOn w:val="Policepardfaut"/>
    <w:rsid w:val="003563C8"/>
  </w:style>
  <w:style w:type="paragraph" w:customStyle="1" w:styleId="menu">
    <w:name w:val="menu"/>
    <w:basedOn w:val="Normal"/>
    <w:rsid w:val="003563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u1">
    <w:name w:val="menu1"/>
    <w:basedOn w:val="Policepardfaut"/>
    <w:rsid w:val="003563C8"/>
  </w:style>
  <w:style w:type="paragraph" w:styleId="Textedebulles">
    <w:name w:val="Balloon Text"/>
    <w:basedOn w:val="Normal"/>
    <w:link w:val="TextedebullesCar"/>
    <w:uiPriority w:val="99"/>
    <w:semiHidden/>
    <w:unhideWhenUsed/>
    <w:rsid w:val="003563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6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814810">
      <w:bodyDiv w:val="1"/>
      <w:marLeft w:val="0"/>
      <w:marRight w:val="0"/>
      <w:marTop w:val="0"/>
      <w:marBottom w:val="0"/>
      <w:divBdr>
        <w:top w:val="none" w:sz="0" w:space="0" w:color="auto"/>
        <w:left w:val="none" w:sz="0" w:space="0" w:color="auto"/>
        <w:bottom w:val="none" w:sz="0" w:space="0" w:color="auto"/>
        <w:right w:val="none" w:sz="0" w:space="0" w:color="auto"/>
      </w:divBdr>
    </w:div>
    <w:div w:id="504059485">
      <w:bodyDiv w:val="1"/>
      <w:marLeft w:val="0"/>
      <w:marRight w:val="0"/>
      <w:marTop w:val="0"/>
      <w:marBottom w:val="0"/>
      <w:divBdr>
        <w:top w:val="none" w:sz="0" w:space="0" w:color="auto"/>
        <w:left w:val="none" w:sz="0" w:space="0" w:color="auto"/>
        <w:bottom w:val="none" w:sz="0" w:space="0" w:color="auto"/>
        <w:right w:val="none" w:sz="0" w:space="0" w:color="auto"/>
      </w:divBdr>
    </w:div>
    <w:div w:id="770248206">
      <w:bodyDiv w:val="1"/>
      <w:marLeft w:val="0"/>
      <w:marRight w:val="0"/>
      <w:marTop w:val="0"/>
      <w:marBottom w:val="0"/>
      <w:divBdr>
        <w:top w:val="none" w:sz="0" w:space="0" w:color="auto"/>
        <w:left w:val="none" w:sz="0" w:space="0" w:color="auto"/>
        <w:bottom w:val="none" w:sz="0" w:space="0" w:color="auto"/>
        <w:right w:val="none" w:sz="0" w:space="0" w:color="auto"/>
      </w:divBdr>
    </w:div>
    <w:div w:id="1306079511">
      <w:bodyDiv w:val="1"/>
      <w:marLeft w:val="0"/>
      <w:marRight w:val="0"/>
      <w:marTop w:val="0"/>
      <w:marBottom w:val="0"/>
      <w:divBdr>
        <w:top w:val="none" w:sz="0" w:space="0" w:color="auto"/>
        <w:left w:val="none" w:sz="0" w:space="0" w:color="auto"/>
        <w:bottom w:val="none" w:sz="0" w:space="0" w:color="auto"/>
        <w:right w:val="none" w:sz="0" w:space="0" w:color="auto"/>
      </w:divBdr>
    </w:div>
    <w:div w:id="1754085242">
      <w:bodyDiv w:val="1"/>
      <w:marLeft w:val="0"/>
      <w:marRight w:val="0"/>
      <w:marTop w:val="0"/>
      <w:marBottom w:val="0"/>
      <w:divBdr>
        <w:top w:val="none" w:sz="0" w:space="0" w:color="auto"/>
        <w:left w:val="none" w:sz="0" w:space="0" w:color="auto"/>
        <w:bottom w:val="none" w:sz="0" w:space="0" w:color="auto"/>
        <w:right w:val="none" w:sz="0" w:space="0" w:color="auto"/>
      </w:divBdr>
      <w:divsChild>
        <w:div w:id="2091191138">
          <w:marLeft w:val="15"/>
          <w:marRight w:val="150"/>
          <w:marTop w:val="0"/>
          <w:marBottom w:val="0"/>
          <w:divBdr>
            <w:top w:val="single" w:sz="6" w:space="4" w:color="CCCCCC"/>
            <w:left w:val="single" w:sz="6" w:space="15" w:color="CCCCCC"/>
            <w:bottom w:val="none" w:sz="0" w:space="0" w:color="auto"/>
            <w:right w:val="single" w:sz="6" w:space="15" w:color="CCCCCC"/>
          </w:divBdr>
        </w:div>
        <w:div w:id="654801576">
          <w:marLeft w:val="15"/>
          <w:marRight w:val="150"/>
          <w:marTop w:val="0"/>
          <w:marBottom w:val="0"/>
          <w:divBdr>
            <w:top w:val="single" w:sz="6" w:space="4" w:color="CCCCCC"/>
            <w:left w:val="single" w:sz="6" w:space="15" w:color="CCCCCC"/>
            <w:bottom w:val="none" w:sz="0" w:space="0" w:color="auto"/>
            <w:right w:val="single" w:sz="6" w:space="15" w:color="CCCCCC"/>
          </w:divBdr>
        </w:div>
        <w:div w:id="780494367">
          <w:marLeft w:val="15"/>
          <w:marRight w:val="150"/>
          <w:marTop w:val="0"/>
          <w:marBottom w:val="0"/>
          <w:divBdr>
            <w:top w:val="single" w:sz="6" w:space="4" w:color="CCCCCC"/>
            <w:left w:val="single" w:sz="6" w:space="15" w:color="CCCCCC"/>
            <w:bottom w:val="none" w:sz="0" w:space="0" w:color="auto"/>
            <w:right w:val="single" w:sz="6" w:space="15" w:color="CCCCCC"/>
          </w:divBdr>
        </w:div>
        <w:div w:id="1115708045">
          <w:marLeft w:val="15"/>
          <w:marRight w:val="0"/>
          <w:marTop w:val="0"/>
          <w:marBottom w:val="0"/>
          <w:divBdr>
            <w:top w:val="single" w:sz="6" w:space="8" w:color="CCCCCC"/>
            <w:left w:val="single" w:sz="6" w:space="8" w:color="CCCCCC"/>
            <w:bottom w:val="single" w:sz="6" w:space="8" w:color="CCCCCC"/>
            <w:right w:val="single" w:sz="6" w:space="8"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codevam.com/site/fr/presentation/adherents.php?id=2" TargetMode="External"/><Relationship Id="rId13" Type="http://schemas.openxmlformats.org/officeDocument/2006/relationships/hyperlink" Target="http://www.cmf.org.tn/htm/presentation/mft.htm" TargetMode="External"/><Relationship Id="rId18" Type="http://schemas.openxmlformats.org/officeDocument/2006/relationships/hyperlink" Target="http://www.cmf.org.tn/htm/presentation/mft.htm" TargetMode="External"/><Relationship Id="rId26" Type="http://schemas.openxmlformats.org/officeDocument/2006/relationships/hyperlink" Target="http://www.cmf.org.tn/pdf/publication_cmf/intervenants/liste_intermediaire.pdf" TargetMode="External"/><Relationship Id="rId3" Type="http://schemas.openxmlformats.org/officeDocument/2006/relationships/settings" Target="settings.xml"/><Relationship Id="rId21" Type="http://schemas.openxmlformats.org/officeDocument/2006/relationships/hyperlink" Target="http://www.cmf.org.tn/htm/presentation/mft.htm" TargetMode="External"/><Relationship Id="rId7" Type="http://schemas.openxmlformats.org/officeDocument/2006/relationships/hyperlink" Target="http://www.sticodevam.com/site/fr/presentation/adherents.php?id=1" TargetMode="External"/><Relationship Id="rId12" Type="http://schemas.openxmlformats.org/officeDocument/2006/relationships/image" Target="media/image2.gif"/><Relationship Id="rId17" Type="http://schemas.openxmlformats.org/officeDocument/2006/relationships/hyperlink" Target="http://www.cmf.org.tn/htm/presentation/cmf.htm" TargetMode="External"/><Relationship Id="rId25" Type="http://schemas.openxmlformats.org/officeDocument/2006/relationships/hyperlink" Target="http://www.cmf.org.tn/htm/presentation/rgb.htm" TargetMode="External"/><Relationship Id="rId2" Type="http://schemas.openxmlformats.org/officeDocument/2006/relationships/styles" Target="styles.xml"/><Relationship Id="rId16" Type="http://schemas.openxmlformats.org/officeDocument/2006/relationships/hyperlink" Target="http://www.cmf.org.tn/htm/presentation/mft.htm" TargetMode="External"/><Relationship Id="rId20" Type="http://schemas.openxmlformats.org/officeDocument/2006/relationships/hyperlink" Target="http://www.cmf.org.tn/htm/presentation/mft.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ticodevam.com/site/fr/presentation/adherents.php?id=3" TargetMode="External"/><Relationship Id="rId11" Type="http://schemas.openxmlformats.org/officeDocument/2006/relationships/hyperlink" Target="http://www.cmf.org.tn/htm/presentation/cmf.htm" TargetMode="External"/><Relationship Id="rId24" Type="http://schemas.openxmlformats.org/officeDocument/2006/relationships/hyperlink" Target="http://www.cmf.org.tn/htm/presentation/mft.htm" TargetMode="External"/><Relationship Id="rId5" Type="http://schemas.openxmlformats.org/officeDocument/2006/relationships/hyperlink" Target="http://www.sticodevam.com/site/images/contenu/actionnaires.jpg" TargetMode="External"/><Relationship Id="rId15" Type="http://schemas.openxmlformats.org/officeDocument/2006/relationships/hyperlink" Target="http://www.cmf.org.tn/htm/presentation/mft.htm" TargetMode="External"/><Relationship Id="rId23" Type="http://schemas.openxmlformats.org/officeDocument/2006/relationships/hyperlink" Target="http://www.cmf.org.tn/pdf/publication_cmf/intervenants/liste_intermediaire.pdf" TargetMode="External"/><Relationship Id="rId28" Type="http://schemas.openxmlformats.org/officeDocument/2006/relationships/hyperlink" Target="http://www.cmf.org.tn/htm/presentation/rgb.htm" TargetMode="External"/><Relationship Id="rId10" Type="http://schemas.openxmlformats.org/officeDocument/2006/relationships/image" Target="media/image1.gif"/><Relationship Id="rId19" Type="http://schemas.openxmlformats.org/officeDocument/2006/relationships/hyperlink" Target="http://www.cmf.org.tn/htm/presentation/mft.htm" TargetMode="External"/><Relationship Id="rId4" Type="http://schemas.openxmlformats.org/officeDocument/2006/relationships/webSettings" Target="webSettings.xml"/><Relationship Id="rId9" Type="http://schemas.openxmlformats.org/officeDocument/2006/relationships/hyperlink" Target="http://www.sticodevam.com/site/fr/presentation/adherents.php?id=1" TargetMode="External"/><Relationship Id="rId14" Type="http://schemas.openxmlformats.org/officeDocument/2006/relationships/hyperlink" Target="http://www.cmf.org.tn/htm/presentation/mft.htm" TargetMode="External"/><Relationship Id="rId22" Type="http://schemas.openxmlformats.org/officeDocument/2006/relationships/hyperlink" Target="http://www.cmf.org.tn/htm/presentation/mft.htm" TargetMode="External"/><Relationship Id="rId27" Type="http://schemas.openxmlformats.org/officeDocument/2006/relationships/hyperlink" Target="http://www.cmf.org.tn/htm/presentation/mft.htm"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1870</Words>
  <Characters>10287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DELL</Company>
  <LinksUpToDate>false</LinksUpToDate>
  <CharactersWithSpaces>12133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2011-12-21T08:34:00Z</dcterms:created>
  <dcterms:modified xsi:type="dcterms:W3CDTF">2011-12-21T09:21:00Z</dcterms:modified>
</cp:coreProperties>
</file>