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54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La société en nom collectif est constituée entre deux ou plusieurs personnes qui sont responsables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 xml:space="preserve">personnellement et solidairement du passif social. </w:t>
      </w: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 xml:space="preserve">Elle exerce son activité sous une </w:t>
      </w:r>
      <w:r w:rsidRPr="0044361D">
        <w:rPr>
          <w:rFonts w:ascii="Times New Roman" w:hAnsi="Times New Roman" w:cs="Times New Roman"/>
          <w:b/>
        </w:rPr>
        <w:t>raison sociale</w:t>
      </w:r>
      <w:r w:rsidRPr="005F4C2D">
        <w:rPr>
          <w:rFonts w:ascii="Times New Roman" w:hAnsi="Times New Roman" w:cs="Times New Roman"/>
        </w:rPr>
        <w:t xml:space="preserve"> qui se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 xml:space="preserve">compose du </w:t>
      </w:r>
      <w:r w:rsidRPr="0044361D">
        <w:rPr>
          <w:rFonts w:ascii="Times New Roman" w:hAnsi="Times New Roman" w:cs="Times New Roman"/>
          <w:u w:val="single"/>
        </w:rPr>
        <w:t>nom de tous les associés ou du nom de l’un ou de quelques-uns d’entre eux</w:t>
      </w:r>
      <w:r w:rsidRPr="005F4C2D">
        <w:rPr>
          <w:rFonts w:ascii="Times New Roman" w:hAnsi="Times New Roman" w:cs="Times New Roman"/>
        </w:rPr>
        <w:t xml:space="preserve"> suivis des mots </w:t>
      </w:r>
      <w:r w:rsidRPr="0044361D">
        <w:rPr>
          <w:rFonts w:ascii="Times New Roman" w:hAnsi="Times New Roman" w:cs="Times New Roman"/>
          <w:u w:val="single"/>
        </w:rPr>
        <w:t>“ et</w:t>
      </w:r>
      <w:r w:rsidR="00F17DAA" w:rsidRPr="0044361D">
        <w:rPr>
          <w:rFonts w:ascii="Times New Roman" w:hAnsi="Times New Roman" w:cs="Times New Roman"/>
          <w:u w:val="single"/>
        </w:rPr>
        <w:t xml:space="preserve"> </w:t>
      </w:r>
      <w:r w:rsidRPr="0044361D">
        <w:rPr>
          <w:rFonts w:ascii="Times New Roman" w:hAnsi="Times New Roman" w:cs="Times New Roman"/>
          <w:u w:val="single"/>
        </w:rPr>
        <w:t>compagnie ”</w:t>
      </w:r>
      <w:r w:rsidRPr="005F4C2D">
        <w:rPr>
          <w:rFonts w:ascii="Times New Roman" w:hAnsi="Times New Roman" w:cs="Times New Roman"/>
        </w:rPr>
        <w:t>.</w:t>
      </w:r>
    </w:p>
    <w:p w:rsidR="005F4C2D" w:rsidRDefault="00BB7B7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026" style="position:absolute;margin-left:-2.6pt;margin-top:11.05pt;width:448.5pt;height:54.15pt;z-index:251658240">
            <v:textbox>
              <w:txbxContent>
                <w:p w:rsidR="00BB7B7E" w:rsidRPr="0044361D" w:rsidRDefault="00BB7B7E" w:rsidP="00BB7B7E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ind w:left="426"/>
                    <w:rPr>
                      <w:rFonts w:ascii="Times New Roman" w:hAnsi="Times New Roman" w:cs="Times New Roman"/>
                    </w:rPr>
                  </w:pPr>
                  <w:r w:rsidRPr="0044361D">
                    <w:rPr>
                      <w:rFonts w:ascii="Times New Roman" w:hAnsi="Times New Roman" w:cs="Times New Roman"/>
                    </w:rPr>
                    <w:t xml:space="preserve">Raison sociale =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 w:rsidRPr="0044361D">
                    <w:rPr>
                      <w:rFonts w:ascii="Times New Roman" w:hAnsi="Times New Roman" w:cs="Times New Roman"/>
                    </w:rPr>
                    <w:t xml:space="preserve">om de tous les associés ou du nom de l’un ou de quelques-uns d’entre eux     </w:t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  <w:t>+</w:t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 w:rsidRPr="0044361D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</w:t>
                  </w:r>
                  <w:r w:rsidRPr="0044361D">
                    <w:rPr>
                      <w:rFonts w:ascii="Times New Roman" w:hAnsi="Times New Roman" w:cs="Times New Roman"/>
                    </w:rPr>
                    <w:t>le mot ‘’ et compagnie ‘’</w:t>
                  </w:r>
                </w:p>
                <w:p w:rsidR="00BB7B7E" w:rsidRDefault="00BB7B7E"/>
              </w:txbxContent>
            </v:textbox>
          </v:rect>
        </w:pict>
      </w:r>
    </w:p>
    <w:p w:rsidR="0044361D" w:rsidRDefault="0044361D" w:rsidP="00443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B7B7E" w:rsidRDefault="00BB7B7E" w:rsidP="00443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B7B7E" w:rsidRDefault="00BB7B7E" w:rsidP="00443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B7B7E" w:rsidRPr="0044361D" w:rsidRDefault="00BB7B7E" w:rsidP="00443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Toute personne étrangère à la société qui laisserait sciemment son nom figurer dans la raison sociale de la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société répondrait des dettes de la société vis-à-vis de quiconque qui aurait pu ainsi être induit en erreur.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55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Les associés en nom collectif ont la qualité de commerçant ; toutefois, les créanciers de la société ne peuvent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poursuivre l’associé en paiement des dettes sociales que quinze jours après l’avoir mis en demeure.</w:t>
      </w:r>
    </w:p>
    <w:p w:rsidR="002F0A9B" w:rsidRPr="005F4C2D" w:rsidRDefault="002F0A9B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Les associés faisant partie de la société au moment où l’engagement social a été contracté sont tenus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solidairement sur leurs biens propres.</w:t>
      </w:r>
    </w:p>
    <w:p w:rsidR="00BB7B7E" w:rsidRDefault="00BB7B7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 xml:space="preserve">L’action des créanciers doit être exercée dans </w:t>
      </w:r>
      <w:r w:rsidRPr="00BB7B7E">
        <w:rPr>
          <w:rFonts w:ascii="Times New Roman" w:hAnsi="Times New Roman" w:cs="Times New Roman"/>
          <w:b/>
        </w:rPr>
        <w:t>un délai de trois ans</w:t>
      </w:r>
      <w:r w:rsidRPr="005F4C2D">
        <w:rPr>
          <w:rFonts w:ascii="Times New Roman" w:hAnsi="Times New Roman" w:cs="Times New Roman"/>
        </w:rPr>
        <w:t xml:space="preserve"> à compter de la date d’échéance de leurs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créances.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  <w:i/>
          <w:iCs/>
        </w:rPr>
        <w:t>(</w:t>
      </w:r>
      <w:r w:rsidR="00BB7B7E" w:rsidRPr="005F4C2D">
        <w:rPr>
          <w:rFonts w:ascii="Times New Roman" w:hAnsi="Times New Roman" w:cs="Times New Roman"/>
          <w:i/>
          <w:iCs/>
        </w:rPr>
        <w:t>Alinéa</w:t>
      </w:r>
      <w:r w:rsidRPr="005F4C2D">
        <w:rPr>
          <w:rFonts w:ascii="Times New Roman" w:hAnsi="Times New Roman" w:cs="Times New Roman"/>
          <w:i/>
          <w:iCs/>
        </w:rPr>
        <w:t xml:space="preserve"> 4 abrogé par la loi n° 2009-16 du 16 mars 2009, art.3)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56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A l’exception des cas expressément prévus dans l’acte constitutif de la société, l’associé ne peut céder sa part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d’intérêt à un tiers sauf consentement unanime des autres associés et à condition de se conformer aux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obligations de publicité.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Toutefois, il est permis à un associé de transférer à un tiers les droits et les avantages attachés à sa part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d’intérêt, cet accord n’ayant d’effet qu’entre les parties contractantes.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lastRenderedPageBreak/>
        <w:t>Article 57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La gestion de la société est un droit pour tous les associés sauf si les statuts ou une convention ultérieure ne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prévoient le contraire.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58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 ou les gérants sont nommés soit par les statuts soit par une décision ultérieure prise à l’unanimité des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associés.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 ou les gérants peuvent être associés ou non associés. Dans ce dernier cas, la décision de nomination du ou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des gérants peut être prise par les associés détenant les trois quart du capital social.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59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 gérant est révocable dans les mêmes conditions suivant lesquelles il a été nommé. Toutefois, si la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révocation est abusive, elle peut donner droit à réparation.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 remplacement d’un ancien gérant par un nouveau doit faire l’objet d’une publication selon la procédure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légale.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60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 gérant accomplit tous les actes de gestion qu’exige l’intérêt de la société sauf limitation expresse de ses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pouvoirs par les statuts.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En cas de pluralité de gérants, chacun d’eux détient séparément tous les pouvoirs prévus à l’alinéa précédent.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L’opposition formée par un gérant aux actes d’un autre gérant est sans effet à l’égard des tiers, à moins qu’il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ne soit établi qu’ils en ont eu connaissance.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Si une personne morale est gérant, ses dirigeants encourent les mêmes responsabilités civile et pénale que s’ils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étaient gérants en leur nom propre sans préjudice de la responsabilité solidaire de la personne morale qu’ils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dirigent.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61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lastRenderedPageBreak/>
        <w:t>Les gérants engagent la société toutes les fois qu’ils agissent dans les limites de leurs pouvoirs et qu’ils signent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sous la raison sociale, même s’ils usent de cette signature dans leur intérêt personnel, à moins que le tiers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cocontractant ne soit de mauvaise foi.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62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Les gérants ne peuvent gérer une société ou une entreprise individuelle exerçant une activité concurrente.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63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Les gérants ne peuvent, sans autorisation spéciale des associés, passer pour leur compte personnel des marchés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ou entreprises avec la société. L’autorisation doit être au besoin renouvelée tous les ans.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64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Les associés non-gérants ont le droit de prendre connaissance deux fois par an, au siège de la société, des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documents comptables. Ils ont également le droit de poser des questions écrites sur la gestion sociale. Les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réponses à ces questions doivent être faites par écrit dans un délai ne dépassant pas un mois.</w:t>
      </w: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65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Outre les causes de dissolution communes à toutes les sociétés prévues au présent code, les sociétés en nom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collectif sont soumises aux causes de dissolution suivantes :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1) L’impossibilité pour l’un des associés de céder ses parts si la société a été constituée à durée illimitée à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condition que sa décision de céder ses parts ne porte pas atteinte aux intérêts légitimes de la société eu égard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aux circonstances dans lesquelles la décision de cession a été prise.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2) La survenance de l’incapacité ou la faillite d’un associé.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Toutefois, les autres associés peuvent à l’unanimité décider que la société continuera entre eux, à l’exclusion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du démissionnaire, de l’incapable ou du failli, mais à condition de procéder aux mesures de publicité légale.</w:t>
      </w:r>
    </w:p>
    <w:p w:rsidR="009120DE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lastRenderedPageBreak/>
        <w:t>Sauf clause contraire des statuts, en cas de décès de l’un des associés, la société en nom collectif continue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entre les survivants, si le précédé n’a pas laissé d’héritiers auxquels ses droits sont dévolus. Au cas contraire,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la société continue avec les héritiers qui prennent la qualité d’associés commanditaires, et la société se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transforme de droit en une société en commandite simple qui doit faire l’objet des mesures de publicité légale.</w:t>
      </w:r>
    </w:p>
    <w:p w:rsidR="00A96295" w:rsidRPr="005F4C2D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96295" w:rsidRDefault="00A96295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F4C2D" w:rsidRPr="005F4C2D" w:rsidRDefault="005F4C2D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120DE" w:rsidRDefault="009120DE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F4C2D">
        <w:rPr>
          <w:rFonts w:ascii="Times New Roman" w:hAnsi="Times New Roman" w:cs="Times New Roman"/>
          <w:b/>
          <w:bCs/>
        </w:rPr>
        <w:t>Article 66</w:t>
      </w:r>
    </w:p>
    <w:p w:rsidR="005F4C2D" w:rsidRPr="005F4C2D" w:rsidRDefault="005F4C2D" w:rsidP="005F4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B6D01" w:rsidRPr="005F4C2D" w:rsidRDefault="009120DE" w:rsidP="005F4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4C2D">
        <w:rPr>
          <w:rFonts w:ascii="Times New Roman" w:hAnsi="Times New Roman" w:cs="Times New Roman"/>
        </w:rPr>
        <w:t>Dans tous les cas, la valeur des droits de l’associé décédé, interdit ou failli, est fixée par un inventaire spécial,</w:t>
      </w:r>
      <w:r w:rsidR="00F17DAA" w:rsidRPr="005F4C2D">
        <w:rPr>
          <w:rFonts w:ascii="Times New Roman" w:hAnsi="Times New Roman" w:cs="Times New Roman"/>
        </w:rPr>
        <w:t xml:space="preserve"> </w:t>
      </w:r>
      <w:r w:rsidRPr="005F4C2D">
        <w:rPr>
          <w:rFonts w:ascii="Times New Roman" w:hAnsi="Times New Roman" w:cs="Times New Roman"/>
        </w:rPr>
        <w:t>à moins que les statuts n’aient prévu un autre mode d’évaluation.</w:t>
      </w:r>
    </w:p>
    <w:sectPr w:rsidR="00DB6D01" w:rsidRPr="005F4C2D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17" w:rsidRDefault="005F6A17" w:rsidP="007E4FB1">
      <w:pPr>
        <w:spacing w:after="0" w:line="240" w:lineRule="auto"/>
      </w:pPr>
      <w:r>
        <w:separator/>
      </w:r>
    </w:p>
  </w:endnote>
  <w:endnote w:type="continuationSeparator" w:id="1">
    <w:p w:rsidR="005F6A17" w:rsidRDefault="005F6A17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594FD6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564251">
            <w:rPr>
              <w:noProof/>
              <w:color w:val="262626" w:themeColor="text1" w:themeTint="D9"/>
            </w:rPr>
            <w:t>1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17" w:rsidRDefault="005F6A17" w:rsidP="007E4FB1">
      <w:pPr>
        <w:spacing w:after="0" w:line="240" w:lineRule="auto"/>
      </w:pPr>
      <w:r>
        <w:separator/>
      </w:r>
    </w:p>
  </w:footnote>
  <w:footnote w:type="continuationSeparator" w:id="1">
    <w:p w:rsidR="005F6A17" w:rsidRDefault="005F6A17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 w:rsidR="003B1CB9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deux – Les sociétés de personnes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Titre </w:t>
              </w:r>
              <w:r w:rsidR="003B1CB9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premier – </w:t>
              </w:r>
              <w:r w:rsidR="009120DE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La société en Nom C</w:t>
              </w:r>
              <w:r w:rsidR="003B1CB9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ollectif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F1B"/>
    <w:multiLevelType w:val="hybridMultilevel"/>
    <w:tmpl w:val="D8EA373C"/>
    <w:lvl w:ilvl="0" w:tplc="FB34B86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21F3"/>
    <w:multiLevelType w:val="hybridMultilevel"/>
    <w:tmpl w:val="98A6A1E4"/>
    <w:lvl w:ilvl="0" w:tplc="CDACC14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FB1"/>
    <w:rsid w:val="00240A34"/>
    <w:rsid w:val="002F0A9B"/>
    <w:rsid w:val="003B1CB9"/>
    <w:rsid w:val="00401C17"/>
    <w:rsid w:val="0044361D"/>
    <w:rsid w:val="0045171B"/>
    <w:rsid w:val="00564251"/>
    <w:rsid w:val="00580FA3"/>
    <w:rsid w:val="00594FD6"/>
    <w:rsid w:val="005F4C2D"/>
    <w:rsid w:val="005F6A17"/>
    <w:rsid w:val="00616E68"/>
    <w:rsid w:val="0062190A"/>
    <w:rsid w:val="006A53B6"/>
    <w:rsid w:val="006E0275"/>
    <w:rsid w:val="00740CD5"/>
    <w:rsid w:val="007E4FB1"/>
    <w:rsid w:val="009120DE"/>
    <w:rsid w:val="00A96295"/>
    <w:rsid w:val="00AA7533"/>
    <w:rsid w:val="00BB7B7E"/>
    <w:rsid w:val="00D736F1"/>
    <w:rsid w:val="00F17DAA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38541B"/>
    <w:rsid w:val="003E250F"/>
    <w:rsid w:val="009F599A"/>
    <w:rsid w:val="00B91C05"/>
    <w:rsid w:val="00D8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deux – Les sociétés de personnes                                                              </vt:lpstr>
    </vt:vector>
  </TitlesOfParts>
  <Company>.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deux – Les sociétés de personnes                                                                            Titre premier – La société en Nom Collectif</dc:title>
  <dc:subject/>
  <dc:creator>.</dc:creator>
  <cp:keywords/>
  <dc:description/>
  <cp:lastModifiedBy>ZIED</cp:lastModifiedBy>
  <cp:revision>12</cp:revision>
  <dcterms:created xsi:type="dcterms:W3CDTF">2012-02-08T16:21:00Z</dcterms:created>
  <dcterms:modified xsi:type="dcterms:W3CDTF">2012-07-02T14:03:00Z</dcterms:modified>
</cp:coreProperties>
</file>