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2D" w:rsidRDefault="005F4C2D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9120DE" w:rsidRDefault="009120DE" w:rsidP="005F4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5F4C2D">
        <w:rPr>
          <w:rFonts w:ascii="Times New Roman" w:hAnsi="Times New Roman" w:cs="Times New Roman"/>
          <w:b/>
          <w:bCs/>
        </w:rPr>
        <w:t>Article 54</w:t>
      </w:r>
    </w:p>
    <w:p w:rsidR="005F4C2D" w:rsidRPr="005F4C2D" w:rsidRDefault="005F4C2D" w:rsidP="005F4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5F4C2D" w:rsidRDefault="009120DE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C2D">
        <w:rPr>
          <w:rFonts w:ascii="Times New Roman" w:hAnsi="Times New Roman" w:cs="Times New Roman"/>
        </w:rPr>
        <w:t>La société en nom collectif est constituée entre deux ou plusieurs personnes qui sont responsables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 xml:space="preserve">personnellement et solidairement du passif social. </w:t>
      </w:r>
    </w:p>
    <w:p w:rsidR="005F4C2D" w:rsidRDefault="005F4C2D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120DE" w:rsidRPr="005F4C2D" w:rsidRDefault="009120DE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C2D">
        <w:rPr>
          <w:rFonts w:ascii="Times New Roman" w:hAnsi="Times New Roman" w:cs="Times New Roman"/>
        </w:rPr>
        <w:t xml:space="preserve">Elle exerce son activité sous une </w:t>
      </w:r>
      <w:r w:rsidRPr="0044361D">
        <w:rPr>
          <w:rFonts w:ascii="Times New Roman" w:hAnsi="Times New Roman" w:cs="Times New Roman"/>
          <w:b/>
        </w:rPr>
        <w:t>raison sociale</w:t>
      </w:r>
      <w:r w:rsidRPr="005F4C2D">
        <w:rPr>
          <w:rFonts w:ascii="Times New Roman" w:hAnsi="Times New Roman" w:cs="Times New Roman"/>
        </w:rPr>
        <w:t xml:space="preserve"> qui se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 xml:space="preserve">compose du </w:t>
      </w:r>
      <w:r w:rsidRPr="0044361D">
        <w:rPr>
          <w:rFonts w:ascii="Times New Roman" w:hAnsi="Times New Roman" w:cs="Times New Roman"/>
          <w:u w:val="single"/>
        </w:rPr>
        <w:t>nom de tous les associés ou du nom de l’un ou de quelques-uns d’entre eux</w:t>
      </w:r>
      <w:r w:rsidRPr="005F4C2D">
        <w:rPr>
          <w:rFonts w:ascii="Times New Roman" w:hAnsi="Times New Roman" w:cs="Times New Roman"/>
        </w:rPr>
        <w:t xml:space="preserve"> suivis des mots </w:t>
      </w:r>
      <w:r w:rsidRPr="0044361D">
        <w:rPr>
          <w:rFonts w:ascii="Times New Roman" w:hAnsi="Times New Roman" w:cs="Times New Roman"/>
          <w:u w:val="single"/>
        </w:rPr>
        <w:t>“ et</w:t>
      </w:r>
      <w:r w:rsidR="00F17DAA" w:rsidRPr="0044361D">
        <w:rPr>
          <w:rFonts w:ascii="Times New Roman" w:hAnsi="Times New Roman" w:cs="Times New Roman"/>
          <w:u w:val="single"/>
        </w:rPr>
        <w:t xml:space="preserve"> </w:t>
      </w:r>
      <w:r w:rsidRPr="0044361D">
        <w:rPr>
          <w:rFonts w:ascii="Times New Roman" w:hAnsi="Times New Roman" w:cs="Times New Roman"/>
          <w:u w:val="single"/>
        </w:rPr>
        <w:t>compagnie ”</w:t>
      </w:r>
      <w:r w:rsidRPr="005F4C2D">
        <w:rPr>
          <w:rFonts w:ascii="Times New Roman" w:hAnsi="Times New Roman" w:cs="Times New Roman"/>
        </w:rPr>
        <w:t>.</w:t>
      </w:r>
    </w:p>
    <w:p w:rsidR="005F4C2D" w:rsidRDefault="00BB7B7E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rect id="_x0000_s1026" style="position:absolute;margin-left:-2.6pt;margin-top:11.05pt;width:448.5pt;height:54.15pt;z-index:251658240">
            <v:textbox>
              <w:txbxContent>
                <w:p w:rsidR="00BB7B7E" w:rsidRPr="0044361D" w:rsidRDefault="00BB7B7E" w:rsidP="00BB7B7E">
                  <w:pPr>
                    <w:pStyle w:val="Paragraphedeliste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ind w:left="426"/>
                    <w:rPr>
                      <w:rFonts w:ascii="Times New Roman" w:hAnsi="Times New Roman" w:cs="Times New Roman"/>
                    </w:rPr>
                  </w:pPr>
                  <w:r w:rsidRPr="0044361D">
                    <w:rPr>
                      <w:rFonts w:ascii="Times New Roman" w:hAnsi="Times New Roman" w:cs="Times New Roman"/>
                    </w:rPr>
                    <w:t xml:space="preserve">Raison sociale = </w:t>
                  </w:r>
                  <w:r>
                    <w:rPr>
                      <w:rFonts w:ascii="Times New Roman" w:hAnsi="Times New Roman" w:cs="Times New Roman"/>
                    </w:rPr>
                    <w:t>N</w:t>
                  </w:r>
                  <w:r w:rsidRPr="0044361D">
                    <w:rPr>
                      <w:rFonts w:ascii="Times New Roman" w:hAnsi="Times New Roman" w:cs="Times New Roman"/>
                    </w:rPr>
                    <w:t xml:space="preserve">om de tous les associés ou du nom de l’un ou de quelques-uns d’entre eux     </w:t>
                  </w:r>
                  <w:r w:rsidRPr="0044361D">
                    <w:rPr>
                      <w:rFonts w:ascii="Times New Roman" w:hAnsi="Times New Roman" w:cs="Times New Roman"/>
                    </w:rPr>
                    <w:tab/>
                  </w:r>
                  <w:r w:rsidRPr="0044361D">
                    <w:rPr>
                      <w:rFonts w:ascii="Times New Roman" w:hAnsi="Times New Roman" w:cs="Times New Roman"/>
                    </w:rPr>
                    <w:tab/>
                  </w:r>
                  <w:r w:rsidRPr="0044361D">
                    <w:rPr>
                      <w:rFonts w:ascii="Times New Roman" w:hAnsi="Times New Roman" w:cs="Times New Roman"/>
                    </w:rPr>
                    <w:tab/>
                  </w:r>
                  <w:r w:rsidRPr="0044361D">
                    <w:rPr>
                      <w:rFonts w:ascii="Times New Roman" w:hAnsi="Times New Roman" w:cs="Times New Roman"/>
                    </w:rPr>
                    <w:tab/>
                  </w:r>
                  <w:r w:rsidRPr="0044361D">
                    <w:rPr>
                      <w:rFonts w:ascii="Times New Roman" w:hAnsi="Times New Roman" w:cs="Times New Roman"/>
                    </w:rPr>
                    <w:tab/>
                  </w:r>
                  <w:r w:rsidRPr="0044361D">
                    <w:rPr>
                      <w:rFonts w:ascii="Times New Roman" w:hAnsi="Times New Roman" w:cs="Times New Roman"/>
                    </w:rPr>
                    <w:tab/>
                    <w:t>+</w:t>
                  </w:r>
                  <w:r w:rsidRPr="0044361D">
                    <w:rPr>
                      <w:rFonts w:ascii="Times New Roman" w:hAnsi="Times New Roman" w:cs="Times New Roman"/>
                    </w:rPr>
                    <w:tab/>
                  </w:r>
                  <w:r w:rsidRPr="0044361D">
                    <w:rPr>
                      <w:rFonts w:ascii="Times New Roman" w:hAnsi="Times New Roman" w:cs="Times New Roman"/>
                    </w:rPr>
                    <w:tab/>
                  </w:r>
                  <w:r w:rsidRPr="0044361D">
                    <w:rPr>
                      <w:rFonts w:ascii="Times New Roman" w:hAnsi="Times New Roman" w:cs="Times New Roman"/>
                    </w:rPr>
                    <w:tab/>
                  </w:r>
                  <w:r w:rsidRPr="0044361D">
                    <w:rPr>
                      <w:rFonts w:ascii="Times New Roman" w:hAnsi="Times New Roman" w:cs="Times New Roman"/>
                    </w:rPr>
                    <w:tab/>
                  </w:r>
                  <w:r w:rsidRPr="0044361D">
                    <w:rPr>
                      <w:rFonts w:ascii="Times New Roman" w:hAnsi="Times New Roman" w:cs="Times New Roman"/>
                    </w:rPr>
                    <w:tab/>
                  </w:r>
                  <w:r w:rsidRPr="0044361D">
                    <w:rPr>
                      <w:rFonts w:ascii="Times New Roman" w:hAnsi="Times New Roman" w:cs="Times New Roman"/>
                    </w:rPr>
                    <w:tab/>
                  </w:r>
                  <w:r w:rsidRPr="0044361D">
                    <w:rPr>
                      <w:rFonts w:ascii="Times New Roman" w:hAnsi="Times New Roman" w:cs="Times New Roman"/>
                    </w:rPr>
                    <w:tab/>
                  </w:r>
                  <w:r w:rsidRPr="0044361D">
                    <w:rPr>
                      <w:rFonts w:ascii="Times New Roman" w:hAnsi="Times New Roman" w:cs="Times New Roman"/>
                    </w:rPr>
                    <w:tab/>
                  </w:r>
                  <w:r w:rsidRPr="0044361D"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 xml:space="preserve">         </w:t>
                  </w:r>
                  <w:r w:rsidRPr="0044361D">
                    <w:rPr>
                      <w:rFonts w:ascii="Times New Roman" w:hAnsi="Times New Roman" w:cs="Times New Roman"/>
                    </w:rPr>
                    <w:t>le mot ‘’ et compagnie ‘’</w:t>
                  </w:r>
                </w:p>
                <w:p w:rsidR="00BB7B7E" w:rsidRDefault="00BB7B7E"/>
              </w:txbxContent>
            </v:textbox>
          </v:rect>
        </w:pict>
      </w:r>
    </w:p>
    <w:p w:rsidR="0044361D" w:rsidRDefault="0044361D" w:rsidP="004436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B7B7E" w:rsidRDefault="00BB7B7E" w:rsidP="004436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B7B7E" w:rsidRDefault="00BB7B7E" w:rsidP="004436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B7B7E" w:rsidRPr="0044361D" w:rsidRDefault="00BB7B7E" w:rsidP="004436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120DE" w:rsidRPr="005F4C2D" w:rsidRDefault="009120DE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C2D">
        <w:rPr>
          <w:rFonts w:ascii="Times New Roman" w:hAnsi="Times New Roman" w:cs="Times New Roman"/>
        </w:rPr>
        <w:t>Toute personne étrangère à la société qui laisserait sciemment son nom figurer dans la raison sociale de la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>société répondrait des dettes de la société vis-à-vis de quiconque qui aurait pu ainsi être induit en erreur.</w:t>
      </w:r>
    </w:p>
    <w:p w:rsidR="00A96295" w:rsidRPr="005F4C2D" w:rsidRDefault="00A96295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A96295" w:rsidRDefault="00A96295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F4C2D" w:rsidRDefault="005F4C2D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F4C2D" w:rsidRPr="005F4C2D" w:rsidRDefault="005F4C2D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9120DE" w:rsidRDefault="009120DE" w:rsidP="005F4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5F4C2D">
        <w:rPr>
          <w:rFonts w:ascii="Times New Roman" w:hAnsi="Times New Roman" w:cs="Times New Roman"/>
          <w:b/>
          <w:bCs/>
        </w:rPr>
        <w:t>Article 55</w:t>
      </w:r>
    </w:p>
    <w:p w:rsidR="005F4C2D" w:rsidRPr="005F4C2D" w:rsidRDefault="005F4C2D" w:rsidP="005F4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9120DE" w:rsidRDefault="009120DE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C2D">
        <w:rPr>
          <w:rFonts w:ascii="Times New Roman" w:hAnsi="Times New Roman" w:cs="Times New Roman"/>
        </w:rPr>
        <w:t>Les associés en nom collectif ont la qualité de commerçant ; toutefois, les créanciers de la société ne peuvent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>poursuivre l’associé en paiement des dettes sociales que quinze jours après l’avoir mis en demeure.</w:t>
      </w:r>
    </w:p>
    <w:p w:rsidR="002F0A9B" w:rsidRPr="005F4C2D" w:rsidRDefault="002F0A9B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120DE" w:rsidRPr="005F4C2D" w:rsidRDefault="009120DE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C2D">
        <w:rPr>
          <w:rFonts w:ascii="Times New Roman" w:hAnsi="Times New Roman" w:cs="Times New Roman"/>
        </w:rPr>
        <w:t>Les associés faisant partie de la société au moment où l’engagement social a été contracté sont tenus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>solidairement sur leurs biens propres.</w:t>
      </w:r>
    </w:p>
    <w:p w:rsidR="00BB7B7E" w:rsidRDefault="00BB7B7E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120DE" w:rsidRPr="005F4C2D" w:rsidRDefault="009120DE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C2D">
        <w:rPr>
          <w:rFonts w:ascii="Times New Roman" w:hAnsi="Times New Roman" w:cs="Times New Roman"/>
        </w:rPr>
        <w:t xml:space="preserve">L’action des créanciers doit être exercée dans </w:t>
      </w:r>
      <w:r w:rsidRPr="00BB7B7E">
        <w:rPr>
          <w:rFonts w:ascii="Times New Roman" w:hAnsi="Times New Roman" w:cs="Times New Roman"/>
          <w:b/>
        </w:rPr>
        <w:t>un délai de trois ans</w:t>
      </w:r>
      <w:r w:rsidRPr="005F4C2D">
        <w:rPr>
          <w:rFonts w:ascii="Times New Roman" w:hAnsi="Times New Roman" w:cs="Times New Roman"/>
        </w:rPr>
        <w:t xml:space="preserve"> à compter de la date d’échéance de leurs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>créances.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  <w:i/>
          <w:iCs/>
        </w:rPr>
        <w:t>(</w:t>
      </w:r>
      <w:r w:rsidR="00BB7B7E" w:rsidRPr="005F4C2D">
        <w:rPr>
          <w:rFonts w:ascii="Times New Roman" w:hAnsi="Times New Roman" w:cs="Times New Roman"/>
          <w:i/>
          <w:iCs/>
        </w:rPr>
        <w:t>Alinéa</w:t>
      </w:r>
      <w:r w:rsidRPr="005F4C2D">
        <w:rPr>
          <w:rFonts w:ascii="Times New Roman" w:hAnsi="Times New Roman" w:cs="Times New Roman"/>
          <w:i/>
          <w:iCs/>
        </w:rPr>
        <w:t xml:space="preserve"> 4 abrogé par la loi n° 2009-16 du 16 mars 2009, art.3)</w:t>
      </w:r>
    </w:p>
    <w:p w:rsidR="00A96295" w:rsidRPr="005F4C2D" w:rsidRDefault="00A96295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A96295" w:rsidRDefault="00A96295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F4C2D" w:rsidRDefault="005F4C2D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F4C2D" w:rsidRPr="005F4C2D" w:rsidRDefault="005F4C2D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9120DE" w:rsidRDefault="009120DE" w:rsidP="005F4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5F4C2D">
        <w:rPr>
          <w:rFonts w:ascii="Times New Roman" w:hAnsi="Times New Roman" w:cs="Times New Roman"/>
          <w:b/>
          <w:bCs/>
        </w:rPr>
        <w:t>Article 56</w:t>
      </w:r>
    </w:p>
    <w:p w:rsidR="005F4C2D" w:rsidRPr="005F4C2D" w:rsidRDefault="005F4C2D" w:rsidP="005F4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9120DE" w:rsidRPr="005F4C2D" w:rsidRDefault="009120DE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C2D">
        <w:rPr>
          <w:rFonts w:ascii="Times New Roman" w:hAnsi="Times New Roman" w:cs="Times New Roman"/>
        </w:rPr>
        <w:t>A l’exception des cas expressément prévus dans l’acte constitutif de la société, l’associé ne peut céder sa part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>d’intérêt à un tiers sauf consentement unanime des autres associés et à condition de se conformer aux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>obligations de publicité.</w:t>
      </w:r>
    </w:p>
    <w:p w:rsidR="009120DE" w:rsidRPr="005F4C2D" w:rsidRDefault="009120DE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C2D">
        <w:rPr>
          <w:rFonts w:ascii="Times New Roman" w:hAnsi="Times New Roman" w:cs="Times New Roman"/>
        </w:rPr>
        <w:t>Toutefois, il est permis à un associé de transférer à un tiers les droits et les avantages attachés à sa part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>d’intérêt, cet accord n’ayant d’effet qu’entre les parties contractantes.</w:t>
      </w:r>
    </w:p>
    <w:p w:rsidR="00A96295" w:rsidRDefault="00A96295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F4C2D" w:rsidRDefault="005F4C2D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F4C2D" w:rsidRPr="005F4C2D" w:rsidRDefault="005F4C2D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A96295" w:rsidRPr="005F4C2D" w:rsidRDefault="00A96295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9120DE" w:rsidRDefault="009120DE" w:rsidP="005F4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5F4C2D">
        <w:rPr>
          <w:rFonts w:ascii="Times New Roman" w:hAnsi="Times New Roman" w:cs="Times New Roman"/>
          <w:b/>
          <w:bCs/>
        </w:rPr>
        <w:lastRenderedPageBreak/>
        <w:t>Article 57</w:t>
      </w:r>
    </w:p>
    <w:p w:rsidR="005F4C2D" w:rsidRPr="005F4C2D" w:rsidRDefault="005F4C2D" w:rsidP="005F4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9120DE" w:rsidRPr="005F4C2D" w:rsidRDefault="009120DE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C2D">
        <w:rPr>
          <w:rFonts w:ascii="Times New Roman" w:hAnsi="Times New Roman" w:cs="Times New Roman"/>
        </w:rPr>
        <w:t>La gestion de la société est un droit pour tous les associés sauf si les statuts ou une convention ultérieure ne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>prévoient le contraire.</w:t>
      </w:r>
    </w:p>
    <w:p w:rsidR="00A96295" w:rsidRDefault="00A96295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F4C2D" w:rsidRDefault="005F4C2D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F4C2D" w:rsidRPr="005F4C2D" w:rsidRDefault="005F4C2D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A96295" w:rsidRPr="005F4C2D" w:rsidRDefault="00A96295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9120DE" w:rsidRDefault="009120DE" w:rsidP="005F4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5F4C2D">
        <w:rPr>
          <w:rFonts w:ascii="Times New Roman" w:hAnsi="Times New Roman" w:cs="Times New Roman"/>
          <w:b/>
          <w:bCs/>
        </w:rPr>
        <w:t>Article 58</w:t>
      </w:r>
    </w:p>
    <w:p w:rsidR="005F4C2D" w:rsidRPr="005F4C2D" w:rsidRDefault="005F4C2D" w:rsidP="005F4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9120DE" w:rsidRPr="005F4C2D" w:rsidRDefault="009120DE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C2D">
        <w:rPr>
          <w:rFonts w:ascii="Times New Roman" w:hAnsi="Times New Roman" w:cs="Times New Roman"/>
        </w:rPr>
        <w:t>Le ou les gérants sont nommés soit par les statuts soit par une décision ultérieure prise à l’unanimité des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>associés.</w:t>
      </w:r>
    </w:p>
    <w:p w:rsidR="009120DE" w:rsidRPr="005F4C2D" w:rsidRDefault="009120DE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C2D">
        <w:rPr>
          <w:rFonts w:ascii="Times New Roman" w:hAnsi="Times New Roman" w:cs="Times New Roman"/>
        </w:rPr>
        <w:t>Le ou les gérants peuvent être associés ou non associés. Dans ce dernier cas, la décision de nomination du ou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>des gérants peut être prise par les associés détenant les trois quart du capital social.</w:t>
      </w:r>
    </w:p>
    <w:p w:rsidR="00A96295" w:rsidRPr="005F4C2D" w:rsidRDefault="00A96295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A96295" w:rsidRDefault="00A96295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F4C2D" w:rsidRDefault="005F4C2D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F4C2D" w:rsidRPr="005F4C2D" w:rsidRDefault="005F4C2D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9120DE" w:rsidRDefault="009120DE" w:rsidP="005F4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5F4C2D">
        <w:rPr>
          <w:rFonts w:ascii="Times New Roman" w:hAnsi="Times New Roman" w:cs="Times New Roman"/>
          <w:b/>
          <w:bCs/>
        </w:rPr>
        <w:t>Article 59</w:t>
      </w:r>
    </w:p>
    <w:p w:rsidR="005F4C2D" w:rsidRPr="005F4C2D" w:rsidRDefault="005F4C2D" w:rsidP="005F4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9120DE" w:rsidRPr="005F4C2D" w:rsidRDefault="009120DE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C2D">
        <w:rPr>
          <w:rFonts w:ascii="Times New Roman" w:hAnsi="Times New Roman" w:cs="Times New Roman"/>
        </w:rPr>
        <w:t>Le gérant est révocable dans les mêmes conditions suivant lesquelles il a été nommé. Toutefois, si la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>révocation est abusive, elle peut donner droit à réparation.</w:t>
      </w:r>
    </w:p>
    <w:p w:rsidR="009120DE" w:rsidRPr="005F4C2D" w:rsidRDefault="009120DE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C2D">
        <w:rPr>
          <w:rFonts w:ascii="Times New Roman" w:hAnsi="Times New Roman" w:cs="Times New Roman"/>
        </w:rPr>
        <w:t>Le remplacement d’un ancien gérant par un nouveau doit faire l’objet d’une publication selon la procédure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>légale.</w:t>
      </w:r>
    </w:p>
    <w:p w:rsidR="00A96295" w:rsidRPr="005F4C2D" w:rsidRDefault="00A96295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A96295" w:rsidRDefault="00A96295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F4C2D" w:rsidRDefault="005F4C2D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F4C2D" w:rsidRPr="005F4C2D" w:rsidRDefault="005F4C2D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9120DE" w:rsidRDefault="009120DE" w:rsidP="005F4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5F4C2D">
        <w:rPr>
          <w:rFonts w:ascii="Times New Roman" w:hAnsi="Times New Roman" w:cs="Times New Roman"/>
          <w:b/>
          <w:bCs/>
        </w:rPr>
        <w:t>Article 60</w:t>
      </w:r>
    </w:p>
    <w:p w:rsidR="005F4C2D" w:rsidRPr="005F4C2D" w:rsidRDefault="005F4C2D" w:rsidP="005F4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9120DE" w:rsidRPr="005F4C2D" w:rsidRDefault="009120DE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C2D">
        <w:rPr>
          <w:rFonts w:ascii="Times New Roman" w:hAnsi="Times New Roman" w:cs="Times New Roman"/>
        </w:rPr>
        <w:t>Le gérant accomplit tous les actes de gestion qu’exige l’intérêt de la société sauf limitation expresse de ses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>pouvoirs par les statuts.</w:t>
      </w:r>
    </w:p>
    <w:p w:rsidR="009120DE" w:rsidRPr="005F4C2D" w:rsidRDefault="009120DE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C2D">
        <w:rPr>
          <w:rFonts w:ascii="Times New Roman" w:hAnsi="Times New Roman" w:cs="Times New Roman"/>
        </w:rPr>
        <w:t>En cas de pluralité de gérants, chacun d’eux détient séparément tous les pouvoirs prévus à l’alinéa précédent.</w:t>
      </w:r>
    </w:p>
    <w:p w:rsidR="009120DE" w:rsidRPr="005F4C2D" w:rsidRDefault="009120DE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C2D">
        <w:rPr>
          <w:rFonts w:ascii="Times New Roman" w:hAnsi="Times New Roman" w:cs="Times New Roman"/>
        </w:rPr>
        <w:t>L’opposition formée par un gérant aux actes d’un autre gérant est sans effet à l’égard des tiers, à moins qu’il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>ne soit établi qu’ils en ont eu connaissance.</w:t>
      </w:r>
    </w:p>
    <w:p w:rsidR="009120DE" w:rsidRPr="005F4C2D" w:rsidRDefault="009120DE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C2D">
        <w:rPr>
          <w:rFonts w:ascii="Times New Roman" w:hAnsi="Times New Roman" w:cs="Times New Roman"/>
        </w:rPr>
        <w:t>Si une personne morale est gérant, ses dirigeants encourent les mêmes responsabilités civile et pénale que s’ils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>étaient gérants en leur nom propre sans préjudice de la responsabilité solidaire de la personne morale qu’ils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>dirigent.</w:t>
      </w:r>
    </w:p>
    <w:p w:rsidR="00A96295" w:rsidRDefault="00A96295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F4C2D" w:rsidRDefault="005F4C2D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F4C2D" w:rsidRPr="005F4C2D" w:rsidRDefault="005F4C2D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A96295" w:rsidRPr="005F4C2D" w:rsidRDefault="00A96295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9120DE" w:rsidRDefault="009120DE" w:rsidP="005F4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5F4C2D">
        <w:rPr>
          <w:rFonts w:ascii="Times New Roman" w:hAnsi="Times New Roman" w:cs="Times New Roman"/>
          <w:b/>
          <w:bCs/>
        </w:rPr>
        <w:t>Article 61</w:t>
      </w:r>
    </w:p>
    <w:p w:rsidR="005F4C2D" w:rsidRPr="005F4C2D" w:rsidRDefault="005F4C2D" w:rsidP="005F4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9120DE" w:rsidRPr="005F4C2D" w:rsidRDefault="009120DE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C2D">
        <w:rPr>
          <w:rFonts w:ascii="Times New Roman" w:hAnsi="Times New Roman" w:cs="Times New Roman"/>
        </w:rPr>
        <w:lastRenderedPageBreak/>
        <w:t>Les gérants engagent la société toutes les fois qu’ils agissent dans les limites de leurs pouvoirs et qu’ils signent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>sous la raison sociale, même s’ils usent de cette signature dans leur intérêt personnel, à moins que le tiers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>cocontractant ne soit de mauvaise foi.</w:t>
      </w:r>
    </w:p>
    <w:p w:rsidR="00A96295" w:rsidRPr="005F4C2D" w:rsidRDefault="00A96295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A96295" w:rsidRDefault="00A96295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F4C2D" w:rsidRDefault="005F4C2D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F4C2D" w:rsidRPr="005F4C2D" w:rsidRDefault="005F4C2D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F4C2D" w:rsidRDefault="005F4C2D" w:rsidP="005F4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5F4C2D" w:rsidRDefault="005F4C2D" w:rsidP="005F4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9120DE" w:rsidRDefault="009120DE" w:rsidP="005F4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5F4C2D">
        <w:rPr>
          <w:rFonts w:ascii="Times New Roman" w:hAnsi="Times New Roman" w:cs="Times New Roman"/>
          <w:b/>
          <w:bCs/>
        </w:rPr>
        <w:t>Article 62</w:t>
      </w:r>
    </w:p>
    <w:p w:rsidR="005F4C2D" w:rsidRPr="005F4C2D" w:rsidRDefault="005F4C2D" w:rsidP="005F4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9120DE" w:rsidRPr="005F4C2D" w:rsidRDefault="009120DE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C2D">
        <w:rPr>
          <w:rFonts w:ascii="Times New Roman" w:hAnsi="Times New Roman" w:cs="Times New Roman"/>
        </w:rPr>
        <w:t>Les gérants ne peuvent gérer une société ou une entreprise individuelle exerçant une activité concurrente.</w:t>
      </w:r>
    </w:p>
    <w:p w:rsidR="00A96295" w:rsidRDefault="00A96295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F4C2D" w:rsidRDefault="005F4C2D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F4C2D" w:rsidRPr="005F4C2D" w:rsidRDefault="005F4C2D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A96295" w:rsidRPr="005F4C2D" w:rsidRDefault="00A96295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9120DE" w:rsidRDefault="009120DE" w:rsidP="005F4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5F4C2D">
        <w:rPr>
          <w:rFonts w:ascii="Times New Roman" w:hAnsi="Times New Roman" w:cs="Times New Roman"/>
          <w:b/>
          <w:bCs/>
        </w:rPr>
        <w:t>Article 63</w:t>
      </w:r>
    </w:p>
    <w:p w:rsidR="005F4C2D" w:rsidRPr="005F4C2D" w:rsidRDefault="005F4C2D" w:rsidP="005F4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9120DE" w:rsidRPr="005F4C2D" w:rsidRDefault="009120DE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C2D">
        <w:rPr>
          <w:rFonts w:ascii="Times New Roman" w:hAnsi="Times New Roman" w:cs="Times New Roman"/>
        </w:rPr>
        <w:t>Les gérants ne peuvent, sans autorisation spéciale des associés, passer pour leur compte personnel des marchés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>ou entreprises avec la société. L’autorisation doit être au besoin renouvelée tous les ans.</w:t>
      </w:r>
    </w:p>
    <w:p w:rsidR="00A96295" w:rsidRDefault="00A96295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F4C2D" w:rsidRDefault="005F4C2D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F4C2D" w:rsidRPr="005F4C2D" w:rsidRDefault="005F4C2D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A96295" w:rsidRPr="005F4C2D" w:rsidRDefault="00A96295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9120DE" w:rsidRDefault="009120DE" w:rsidP="005F4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5F4C2D">
        <w:rPr>
          <w:rFonts w:ascii="Times New Roman" w:hAnsi="Times New Roman" w:cs="Times New Roman"/>
          <w:b/>
          <w:bCs/>
        </w:rPr>
        <w:t>Article 64</w:t>
      </w:r>
    </w:p>
    <w:p w:rsidR="005F4C2D" w:rsidRPr="005F4C2D" w:rsidRDefault="005F4C2D" w:rsidP="005F4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9120DE" w:rsidRPr="005F4C2D" w:rsidRDefault="009120DE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C2D">
        <w:rPr>
          <w:rFonts w:ascii="Times New Roman" w:hAnsi="Times New Roman" w:cs="Times New Roman"/>
        </w:rPr>
        <w:t>Les associés non-gérants ont le droit de prendre connaissance deux fois par an, au siège de la société, des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>documents comptables. Ils ont également le droit de poser des questions écrites sur la gestion sociale. Les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>réponses à ces questions doivent être faites par écrit dans un délai ne dépassant pas un mois.</w:t>
      </w:r>
    </w:p>
    <w:p w:rsidR="00A96295" w:rsidRDefault="00A96295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F4C2D" w:rsidRDefault="005F4C2D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F4C2D" w:rsidRPr="005F4C2D" w:rsidRDefault="005F4C2D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A96295" w:rsidRPr="005F4C2D" w:rsidRDefault="00A96295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9120DE" w:rsidRDefault="009120DE" w:rsidP="005F4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5F4C2D">
        <w:rPr>
          <w:rFonts w:ascii="Times New Roman" w:hAnsi="Times New Roman" w:cs="Times New Roman"/>
          <w:b/>
          <w:bCs/>
        </w:rPr>
        <w:t>Article 65</w:t>
      </w:r>
    </w:p>
    <w:p w:rsidR="005F4C2D" w:rsidRPr="005F4C2D" w:rsidRDefault="005F4C2D" w:rsidP="005F4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9120DE" w:rsidRPr="005F4C2D" w:rsidRDefault="009120DE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C2D">
        <w:rPr>
          <w:rFonts w:ascii="Times New Roman" w:hAnsi="Times New Roman" w:cs="Times New Roman"/>
        </w:rPr>
        <w:t>Outre les causes de dissolution communes à toutes les sociétés prévues au présent code, les sociétés en nom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>collectif sont soumises aux causes de dissolution suivantes :</w:t>
      </w:r>
    </w:p>
    <w:p w:rsidR="009120DE" w:rsidRPr="005F4C2D" w:rsidRDefault="009120DE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C2D">
        <w:rPr>
          <w:rFonts w:ascii="Times New Roman" w:hAnsi="Times New Roman" w:cs="Times New Roman"/>
        </w:rPr>
        <w:t>1) L’impossibilité pour l’un des associés de céder ses parts si la société a été constituée à durée illimitée à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>condition que sa décision de céder ses parts ne porte pas atteinte aux intérêts légitimes de la société eu égard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>aux circonstances dans lesquelles la décision de cession a été prise.</w:t>
      </w:r>
    </w:p>
    <w:p w:rsidR="009120DE" w:rsidRPr="005F4C2D" w:rsidRDefault="009120DE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C2D">
        <w:rPr>
          <w:rFonts w:ascii="Times New Roman" w:hAnsi="Times New Roman" w:cs="Times New Roman"/>
        </w:rPr>
        <w:t>2) La survenance de l’incapacité ou la faillite d’un associé.</w:t>
      </w:r>
    </w:p>
    <w:p w:rsidR="009120DE" w:rsidRPr="005F4C2D" w:rsidRDefault="009120DE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C2D">
        <w:rPr>
          <w:rFonts w:ascii="Times New Roman" w:hAnsi="Times New Roman" w:cs="Times New Roman"/>
        </w:rPr>
        <w:t>Toutefois, les autres associés peuvent à l’unanimité décider que la société continuera entre eux, à l’exclusion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>du démissionnaire, de l’incapable ou du failli, mais à condition de procéder aux mesures de publicité légale.</w:t>
      </w:r>
    </w:p>
    <w:p w:rsidR="009120DE" w:rsidRPr="005F4C2D" w:rsidRDefault="009120DE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C2D">
        <w:rPr>
          <w:rFonts w:ascii="Times New Roman" w:hAnsi="Times New Roman" w:cs="Times New Roman"/>
        </w:rPr>
        <w:lastRenderedPageBreak/>
        <w:t>Sauf clause contraire des statuts, en cas de décès de l’un des associés, la société en nom collectif continue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>entre les survivants, si le précédé n’a pas laissé d’héritiers auxquels ses droits sont dévolus. Au cas contraire,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>la société continue avec les héritiers qui prennent la qualité d’associés commanditaires, et la société se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>transforme de droit en une société en commandite simple qui doit faire l’objet des mesures de publicité légale.</w:t>
      </w:r>
    </w:p>
    <w:p w:rsidR="00A96295" w:rsidRPr="005F4C2D" w:rsidRDefault="00A96295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A96295" w:rsidRDefault="00A96295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F4C2D" w:rsidRDefault="005F4C2D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F4C2D" w:rsidRPr="005F4C2D" w:rsidRDefault="005F4C2D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9120DE" w:rsidRDefault="009120DE" w:rsidP="005F4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5F4C2D">
        <w:rPr>
          <w:rFonts w:ascii="Times New Roman" w:hAnsi="Times New Roman" w:cs="Times New Roman"/>
          <w:b/>
          <w:bCs/>
        </w:rPr>
        <w:t>Article 66</w:t>
      </w:r>
    </w:p>
    <w:p w:rsidR="005F4C2D" w:rsidRPr="005F4C2D" w:rsidRDefault="005F4C2D" w:rsidP="005F4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B6D01" w:rsidRPr="005F4C2D" w:rsidRDefault="009120DE" w:rsidP="005F4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C2D">
        <w:rPr>
          <w:rFonts w:ascii="Times New Roman" w:hAnsi="Times New Roman" w:cs="Times New Roman"/>
        </w:rPr>
        <w:t>Dans tous les cas, la valeur des droits de l’associé décédé, interdit ou failli, est fixée par un inventaire spécial,</w:t>
      </w:r>
      <w:r w:rsidR="00F17DAA" w:rsidRPr="005F4C2D">
        <w:rPr>
          <w:rFonts w:ascii="Times New Roman" w:hAnsi="Times New Roman" w:cs="Times New Roman"/>
        </w:rPr>
        <w:t xml:space="preserve"> </w:t>
      </w:r>
      <w:r w:rsidRPr="005F4C2D">
        <w:rPr>
          <w:rFonts w:ascii="Times New Roman" w:hAnsi="Times New Roman" w:cs="Times New Roman"/>
        </w:rPr>
        <w:t>à moins que les statuts n’aient prévu un autre mode d’évaluation.</w:t>
      </w:r>
    </w:p>
    <w:sectPr w:rsidR="00DB6D01" w:rsidRPr="005F4C2D" w:rsidSect="004517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A17" w:rsidRDefault="005F6A17" w:rsidP="007E4FB1">
      <w:pPr>
        <w:spacing w:after="0" w:line="240" w:lineRule="auto"/>
      </w:pPr>
      <w:r>
        <w:separator/>
      </w:r>
    </w:p>
  </w:endnote>
  <w:endnote w:type="continuationSeparator" w:id="1">
    <w:p w:rsidR="005F6A17" w:rsidRDefault="005F6A17" w:rsidP="007E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9045"/>
      <w:gridCol w:w="257"/>
    </w:tblGrid>
    <w:tr w:rsidR="007E4FB1" w:rsidTr="007E4FB1">
      <w:tc>
        <w:tcPr>
          <w:tcW w:w="4862" w:type="pct"/>
        </w:tcPr>
        <w:p w:rsidR="007E4FB1" w:rsidRPr="006A53B6" w:rsidRDefault="00594FD6">
          <w:pPr>
            <w:pStyle w:val="Pieddepage"/>
            <w:jc w:val="right"/>
            <w:rPr>
              <w:color w:val="262626" w:themeColor="text1" w:themeTint="D9"/>
            </w:rPr>
          </w:pPr>
          <w:r w:rsidRPr="006A53B6">
            <w:rPr>
              <w:color w:val="262626" w:themeColor="text1" w:themeTint="D9"/>
            </w:rPr>
            <w:fldChar w:fldCharType="begin"/>
          </w:r>
          <w:r w:rsidR="006E0275" w:rsidRPr="006A53B6">
            <w:rPr>
              <w:color w:val="262626" w:themeColor="text1" w:themeTint="D9"/>
            </w:rPr>
            <w:instrText xml:space="preserve"> PAGE   \* MERGEFORMAT </w:instrText>
          </w:r>
          <w:r w:rsidRPr="006A53B6">
            <w:rPr>
              <w:color w:val="262626" w:themeColor="text1" w:themeTint="D9"/>
            </w:rPr>
            <w:fldChar w:fldCharType="separate"/>
          </w:r>
          <w:r w:rsidR="00564251">
            <w:rPr>
              <w:noProof/>
              <w:color w:val="262626" w:themeColor="text1" w:themeTint="D9"/>
            </w:rPr>
            <w:t>1</w:t>
          </w:r>
          <w:r w:rsidRPr="006A53B6">
            <w:rPr>
              <w:color w:val="262626" w:themeColor="text1" w:themeTint="D9"/>
            </w:rPr>
            <w:fldChar w:fldCharType="end"/>
          </w:r>
        </w:p>
      </w:tc>
      <w:tc>
        <w:tcPr>
          <w:tcW w:w="138" w:type="pct"/>
        </w:tcPr>
        <w:p w:rsidR="007E4FB1" w:rsidRDefault="007E4FB1">
          <w:pPr>
            <w:pStyle w:val="Pieddepage"/>
            <w:rPr>
              <w:color w:val="4F81BD" w:themeColor="accent1"/>
            </w:rPr>
          </w:pPr>
        </w:p>
      </w:tc>
    </w:tr>
  </w:tbl>
  <w:p w:rsidR="007E4FB1" w:rsidRDefault="007E4F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A17" w:rsidRDefault="005F6A17" w:rsidP="007E4FB1">
      <w:pPr>
        <w:spacing w:after="0" w:line="240" w:lineRule="auto"/>
      </w:pPr>
      <w:r>
        <w:separator/>
      </w:r>
    </w:p>
  </w:footnote>
  <w:footnote w:type="continuationSeparator" w:id="1">
    <w:p w:rsidR="005F6A17" w:rsidRDefault="005F6A17" w:rsidP="007E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109"/>
      <w:gridCol w:w="8193"/>
    </w:tblGrid>
    <w:tr w:rsidR="007E4FB1" w:rsidTr="007E4FB1">
      <w:tc>
        <w:tcPr>
          <w:tcW w:w="596" w:type="pct"/>
          <w:tcBorders>
            <w:right w:val="single" w:sz="18" w:space="0" w:color="4F81BD" w:themeColor="accent1"/>
          </w:tcBorders>
        </w:tcPr>
        <w:p w:rsidR="007E4FB1" w:rsidRDefault="007E4FB1">
          <w:pPr>
            <w:pStyle w:val="En-tte"/>
          </w:pPr>
        </w:p>
      </w:tc>
      <w:sdt>
        <w:sdtPr>
          <w:rPr>
            <w:rFonts w:asciiTheme="majorHAnsi" w:eastAsia="Times New Roman" w:hAnsiTheme="majorHAnsi" w:cs="Times New Roman"/>
            <w:sz w:val="24"/>
            <w:szCs w:val="24"/>
            <w:lang w:eastAsia="fr-FR"/>
          </w:rPr>
          <w:alias w:val="Titre"/>
          <w:id w:val="77580493"/>
          <w:placeholder>
            <w:docPart w:val="1469E7DD84F146C192D6808B9EA3F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404" w:type="pct"/>
              <w:tcBorders>
                <w:left w:val="single" w:sz="18" w:space="0" w:color="4F81BD" w:themeColor="accent1"/>
              </w:tcBorders>
            </w:tcPr>
            <w:p w:rsidR="007E4FB1" w:rsidRDefault="00740CD5">
              <w:pPr>
                <w:pStyle w:val="En-tte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>Code des sociétés commerciales</w:t>
              </w:r>
              <w:r w:rsidR="007E4FB1" w:rsidRPr="007E4FB1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                                                                                             </w:t>
              </w:r>
              <w:r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                 </w:t>
              </w:r>
              <w:r w:rsidR="007E4FB1" w:rsidRPr="007E4FB1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</w:t>
              </w:r>
              <w:r w:rsidR="003B1CB9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>Livre deux – Les sociétés de personnes</w:t>
              </w:r>
              <w:r w:rsidR="007E4FB1" w:rsidRPr="007E4FB1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                                            </w:t>
              </w:r>
              <w:r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                  Titre </w:t>
              </w:r>
              <w:r w:rsidR="003B1CB9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premier – </w:t>
              </w:r>
              <w:r w:rsidR="009120DE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>La société en Nom C</w:t>
              </w:r>
              <w:r w:rsidR="003B1CB9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>ollectif</w:t>
              </w:r>
            </w:p>
          </w:tc>
        </w:sdtContent>
      </w:sdt>
    </w:tr>
  </w:tbl>
  <w:p w:rsidR="007E4FB1" w:rsidRDefault="007E4FB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F1B"/>
    <w:multiLevelType w:val="hybridMultilevel"/>
    <w:tmpl w:val="D8EA373C"/>
    <w:lvl w:ilvl="0" w:tplc="FB34B86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121F3"/>
    <w:multiLevelType w:val="hybridMultilevel"/>
    <w:tmpl w:val="98A6A1E4"/>
    <w:lvl w:ilvl="0" w:tplc="CDACC14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FB1"/>
    <w:rsid w:val="00240A34"/>
    <w:rsid w:val="002F0A9B"/>
    <w:rsid w:val="003B1CB9"/>
    <w:rsid w:val="00401C17"/>
    <w:rsid w:val="0044361D"/>
    <w:rsid w:val="0045171B"/>
    <w:rsid w:val="00564251"/>
    <w:rsid w:val="00580FA3"/>
    <w:rsid w:val="00594FD6"/>
    <w:rsid w:val="005F4C2D"/>
    <w:rsid w:val="005F6A17"/>
    <w:rsid w:val="00616E68"/>
    <w:rsid w:val="0062190A"/>
    <w:rsid w:val="006A53B6"/>
    <w:rsid w:val="006E0275"/>
    <w:rsid w:val="00740CD5"/>
    <w:rsid w:val="007E4FB1"/>
    <w:rsid w:val="009120DE"/>
    <w:rsid w:val="00A96295"/>
    <w:rsid w:val="00AA7533"/>
    <w:rsid w:val="00BB7B7E"/>
    <w:rsid w:val="00D736F1"/>
    <w:rsid w:val="00F17DAA"/>
    <w:rsid w:val="00F9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4FB1"/>
  </w:style>
  <w:style w:type="paragraph" w:styleId="Pieddepage">
    <w:name w:val="footer"/>
    <w:basedOn w:val="Normal"/>
    <w:link w:val="PieddepageCar"/>
    <w:uiPriority w:val="99"/>
    <w:unhideWhenUsed/>
    <w:rsid w:val="007E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4FB1"/>
  </w:style>
  <w:style w:type="paragraph" w:styleId="Textedebulles">
    <w:name w:val="Balloon Text"/>
    <w:basedOn w:val="Normal"/>
    <w:link w:val="TextedebullesCar"/>
    <w:uiPriority w:val="99"/>
    <w:semiHidden/>
    <w:unhideWhenUsed/>
    <w:rsid w:val="007E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F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3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69E7DD84F146C192D6808B9EA3F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FE8D8-591E-44A6-BFE4-B8D547BF13C8}"/>
      </w:docPartPr>
      <w:docPartBody>
        <w:p w:rsidR="00B91C05" w:rsidRDefault="00322ACA" w:rsidP="00322ACA">
          <w:pPr>
            <w:pStyle w:val="1469E7DD84F146C192D6808B9EA3F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22ACA"/>
    <w:rsid w:val="00322ACA"/>
    <w:rsid w:val="0038541B"/>
    <w:rsid w:val="003E250F"/>
    <w:rsid w:val="009F599A"/>
    <w:rsid w:val="00B91C05"/>
    <w:rsid w:val="00D8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009556BDB8245608EB4E02B28CE2411">
    <w:name w:val="5009556BDB8245608EB4E02B28CE2411"/>
    <w:rsid w:val="00322ACA"/>
  </w:style>
  <w:style w:type="paragraph" w:customStyle="1" w:styleId="DDA283BAB268419BAAD97E4ED3DEB432">
    <w:name w:val="DDA283BAB268419BAAD97E4ED3DEB432"/>
    <w:rsid w:val="00322ACA"/>
  </w:style>
  <w:style w:type="paragraph" w:customStyle="1" w:styleId="1469E7DD84F146C192D6808B9EA3FB10">
    <w:name w:val="1469E7DD84F146C192D6808B9EA3FB10"/>
    <w:rsid w:val="00322A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823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des sociétés commerciales                                                                                                                             Livre deux – Les sociétés de personnes                                                              </vt:lpstr>
    </vt:vector>
  </TitlesOfParts>
  <Company>.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des sociétés commerciales                                                                                                                             Livre deux – Les sociétés de personnes                                                                            Titre premier – La société en Nom Collectif</dc:title>
  <dc:subject/>
  <dc:creator>.</dc:creator>
  <cp:keywords/>
  <dc:description/>
  <cp:lastModifiedBy>ZIED</cp:lastModifiedBy>
  <cp:revision>12</cp:revision>
  <dcterms:created xsi:type="dcterms:W3CDTF">2012-02-08T16:21:00Z</dcterms:created>
  <dcterms:modified xsi:type="dcterms:W3CDTF">2012-07-02T14:03:00Z</dcterms:modified>
</cp:coreProperties>
</file>