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E12" w:rsidRDefault="00333E12" w:rsidP="00333E12">
      <w:r w:rsidRPr="00333E12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1897322</wp:posOffset>
            </wp:positionH>
            <wp:positionV relativeFrom="paragraph">
              <wp:align>top</wp:align>
            </wp:positionV>
            <wp:extent cx="1520932" cy="1520041"/>
            <wp:effectExtent l="19050" t="0" r="3068" b="0"/>
            <wp:wrapSquare wrapText="bothSides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932" cy="1520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8400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1200"/>
        <w:gridCol w:w="1200"/>
        <w:gridCol w:w="1200"/>
        <w:gridCol w:w="1200"/>
        <w:gridCol w:w="1200"/>
        <w:gridCol w:w="1200"/>
        <w:gridCol w:w="1200"/>
      </w:tblGrid>
      <w:tr w:rsidR="00B7263F" w:rsidRPr="00B7263F" w:rsidTr="00B7263F">
        <w:trPr>
          <w:trHeight w:val="105"/>
        </w:trPr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63F" w:rsidRPr="00B7263F" w:rsidRDefault="00B7263F" w:rsidP="00B726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63F" w:rsidRPr="00B7263F" w:rsidRDefault="00B7263F" w:rsidP="00B726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7263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63F" w:rsidRPr="00B7263F" w:rsidRDefault="00B7263F" w:rsidP="00B726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7263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63F" w:rsidRPr="00B7263F" w:rsidRDefault="00B7263F" w:rsidP="00B726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7263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63F" w:rsidRPr="00B7263F" w:rsidRDefault="00B7263F" w:rsidP="00B726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7263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63F" w:rsidRPr="00B7263F" w:rsidRDefault="00B7263F" w:rsidP="00B726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7263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63F" w:rsidRPr="00B7263F" w:rsidRDefault="00B7263F" w:rsidP="00B726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7263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B7263F" w:rsidRPr="000113B3" w:rsidRDefault="000113B3" w:rsidP="000113B3">
      <w:pPr>
        <w:spacing w:after="0"/>
        <w:jc w:val="center"/>
        <w:rPr>
          <w:b/>
          <w:bCs/>
          <w:sz w:val="48"/>
          <w:szCs w:val="48"/>
        </w:rPr>
      </w:pPr>
      <w:r w:rsidRPr="000113B3">
        <w:rPr>
          <w:b/>
          <w:bCs/>
          <w:sz w:val="48"/>
          <w:szCs w:val="48"/>
        </w:rPr>
        <w:t xml:space="preserve">DEUXIÈME ANNÉE </w:t>
      </w:r>
      <w:r w:rsidR="00B7263F" w:rsidRPr="000113B3">
        <w:rPr>
          <w:b/>
          <w:bCs/>
          <w:sz w:val="48"/>
          <w:szCs w:val="48"/>
        </w:rPr>
        <w:t xml:space="preserve">MASTER PRÉPARATOIRE </w:t>
      </w:r>
      <w:r w:rsidR="00A862A7" w:rsidRPr="000113B3">
        <w:rPr>
          <w:b/>
          <w:bCs/>
          <w:sz w:val="48"/>
          <w:szCs w:val="48"/>
        </w:rPr>
        <w:t xml:space="preserve">EN </w:t>
      </w:r>
      <w:r w:rsidR="00B7263F" w:rsidRPr="000113B3">
        <w:rPr>
          <w:b/>
          <w:bCs/>
          <w:sz w:val="48"/>
          <w:szCs w:val="48"/>
        </w:rPr>
        <w:t xml:space="preserve">RÉVISION COMPTABLE </w:t>
      </w:r>
    </w:p>
    <w:p w:rsidR="00B7263F" w:rsidRPr="00475F43" w:rsidRDefault="00B7263F" w:rsidP="000113B3">
      <w:pPr>
        <w:spacing w:after="0"/>
        <w:jc w:val="center"/>
        <w:rPr>
          <w:b/>
          <w:bCs/>
          <w:sz w:val="28"/>
          <w:szCs w:val="28"/>
        </w:rPr>
      </w:pPr>
      <w:r w:rsidRPr="00475F43">
        <w:rPr>
          <w:b/>
          <w:bCs/>
          <w:sz w:val="28"/>
          <w:szCs w:val="28"/>
        </w:rPr>
        <w:t xml:space="preserve">SESSION </w:t>
      </w:r>
      <w:r w:rsidR="000113B3">
        <w:rPr>
          <w:b/>
          <w:bCs/>
          <w:sz w:val="28"/>
          <w:szCs w:val="28"/>
        </w:rPr>
        <w:t>PRINCIPALE : LE 09 JANVIER 2014</w:t>
      </w:r>
    </w:p>
    <w:tbl>
      <w:tblPr>
        <w:tblW w:w="8400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1200"/>
        <w:gridCol w:w="1200"/>
        <w:gridCol w:w="1200"/>
        <w:gridCol w:w="1200"/>
        <w:gridCol w:w="1200"/>
        <w:gridCol w:w="1200"/>
        <w:gridCol w:w="1200"/>
      </w:tblGrid>
      <w:tr w:rsidR="00B7263F" w:rsidRPr="00B7263F" w:rsidTr="00B7263F">
        <w:trPr>
          <w:trHeight w:val="105"/>
        </w:trPr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63F" w:rsidRPr="00B7263F" w:rsidRDefault="00B7263F" w:rsidP="00B726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7263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63F" w:rsidRPr="00B7263F" w:rsidRDefault="00B7263F" w:rsidP="00B726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7263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63F" w:rsidRPr="00B7263F" w:rsidRDefault="00B7263F" w:rsidP="00B726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7263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63F" w:rsidRPr="00B7263F" w:rsidRDefault="00B7263F" w:rsidP="00B726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7263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63F" w:rsidRPr="00B7263F" w:rsidRDefault="00B7263F" w:rsidP="00B726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7263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63F" w:rsidRPr="00B7263F" w:rsidRDefault="00B7263F" w:rsidP="00B726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7263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63F" w:rsidRPr="00B7263F" w:rsidRDefault="00B7263F" w:rsidP="00B726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7263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735CAB" w:rsidRDefault="007C1511" w:rsidP="00735CAB">
      <w:pPr>
        <w:jc w:val="center"/>
        <w:rPr>
          <w:b/>
          <w:bCs/>
          <w:sz w:val="24"/>
          <w:szCs w:val="24"/>
        </w:rPr>
      </w:pPr>
      <w:r w:rsidRPr="007C1511">
        <w:rPr>
          <w:b/>
          <w:bCs/>
          <w:noProof/>
          <w:sz w:val="44"/>
          <w:szCs w:val="44"/>
          <w:lang w:eastAsia="fr-FR"/>
        </w:rPr>
        <w:pict>
          <v:roundrect id="_x0000_s1026" style="position:absolute;left:0;text-align:left;margin-left:-5.4pt;margin-top:18.4pt;width:441.35pt;height:82.25pt;flip:y;z-index:251658240;mso-position-horizontal-relative:text;mso-position-vertical-relative:text" arcsize="10923f">
            <v:textbox style="mso-next-textbox:#_x0000_s1026">
              <w:txbxContent>
                <w:p w:rsidR="00C02537" w:rsidRPr="00475F43" w:rsidRDefault="00C02537" w:rsidP="00735CAB">
                  <w:pPr>
                    <w:jc w:val="center"/>
                    <w:rPr>
                      <w:b/>
                      <w:bCs/>
                      <w:sz w:val="48"/>
                      <w:szCs w:val="48"/>
                    </w:rPr>
                  </w:pPr>
                  <w:r w:rsidRPr="00475F43">
                    <w:rPr>
                      <w:b/>
                      <w:bCs/>
                      <w:sz w:val="48"/>
                      <w:szCs w:val="48"/>
                    </w:rPr>
                    <w:t>EXAMEN DE FISCALITÉ INTERNATIONALE</w:t>
                  </w:r>
                </w:p>
                <w:p w:rsidR="00C02537" w:rsidRPr="000113B3" w:rsidRDefault="00C02537" w:rsidP="00735CAB">
                  <w:pPr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0113B3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Durée : 2 heures</w:t>
                  </w:r>
                </w:p>
              </w:txbxContent>
            </v:textbox>
          </v:roundrect>
        </w:pict>
      </w:r>
    </w:p>
    <w:p w:rsidR="00B7263F" w:rsidRDefault="00B7263F" w:rsidP="00735CAB">
      <w:pPr>
        <w:jc w:val="center"/>
        <w:rPr>
          <w:b/>
          <w:bCs/>
          <w:sz w:val="44"/>
          <w:szCs w:val="44"/>
        </w:rPr>
      </w:pPr>
    </w:p>
    <w:p w:rsidR="00B7263F" w:rsidRDefault="00B7263F" w:rsidP="00DD314C">
      <w:pPr>
        <w:jc w:val="center"/>
        <w:rPr>
          <w:b/>
          <w:bCs/>
          <w:sz w:val="44"/>
          <w:szCs w:val="44"/>
        </w:rPr>
      </w:pPr>
    </w:p>
    <w:tbl>
      <w:tblPr>
        <w:tblW w:w="8400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1200"/>
        <w:gridCol w:w="1200"/>
        <w:gridCol w:w="1200"/>
        <w:gridCol w:w="1200"/>
        <w:gridCol w:w="1200"/>
        <w:gridCol w:w="1200"/>
        <w:gridCol w:w="1200"/>
      </w:tblGrid>
      <w:tr w:rsidR="002D4697" w:rsidRPr="002D4697" w:rsidTr="002D4697">
        <w:trPr>
          <w:trHeight w:val="300"/>
        </w:trPr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97" w:rsidRPr="002D4697" w:rsidRDefault="002D4697" w:rsidP="002D46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D469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97" w:rsidRPr="002D4697" w:rsidRDefault="002D4697" w:rsidP="002D46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D469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97" w:rsidRPr="002D4697" w:rsidRDefault="002D4697" w:rsidP="002D46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D469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97" w:rsidRPr="002D4697" w:rsidRDefault="002D4697" w:rsidP="002D46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D469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97" w:rsidRPr="002D4697" w:rsidRDefault="002D4697" w:rsidP="002D46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D469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97" w:rsidRPr="002D4697" w:rsidRDefault="002D4697" w:rsidP="002D46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D469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97" w:rsidRPr="002D4697" w:rsidRDefault="002D4697" w:rsidP="002D46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D469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2D4697" w:rsidRPr="002D4697" w:rsidTr="002D4697">
        <w:trPr>
          <w:trHeight w:val="439"/>
        </w:trPr>
        <w:tc>
          <w:tcPr>
            <w:tcW w:w="8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697" w:rsidRPr="002D4697" w:rsidRDefault="002D4697" w:rsidP="00994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</w:pPr>
            <w:r w:rsidRPr="002D4697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Le sujet se présente sous la forme de</w:t>
            </w:r>
            <w:r w:rsidR="006E63C5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 xml:space="preserve"> deux </w:t>
            </w:r>
            <w:r w:rsidRPr="002D4697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 xml:space="preserve"> </w:t>
            </w:r>
            <w:r w:rsidR="00994331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dossiers</w:t>
            </w:r>
            <w:r w:rsidRPr="002D4697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 xml:space="preserve"> </w:t>
            </w:r>
            <w:r w:rsidR="006E63C5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indépendant</w:t>
            </w:r>
            <w:r w:rsidRPr="002D4697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s :</w:t>
            </w:r>
          </w:p>
        </w:tc>
      </w:tr>
      <w:tr w:rsidR="002D4697" w:rsidRPr="002D4697" w:rsidTr="002D4697">
        <w:trPr>
          <w:trHeight w:val="439"/>
        </w:trPr>
        <w:tc>
          <w:tcPr>
            <w:tcW w:w="8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697" w:rsidRPr="00475F43" w:rsidRDefault="002D4697" w:rsidP="00063B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75F4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 </w:t>
            </w:r>
            <w:r w:rsidR="00B23E9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Dossier 1</w:t>
            </w:r>
            <w:r w:rsidR="006E63C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</w:t>
            </w:r>
            <w:r w:rsidRPr="00475F4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:                                                        </w:t>
            </w:r>
            <w:r w:rsidR="00063B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12</w:t>
            </w:r>
            <w:r w:rsidRPr="00475F4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points</w:t>
            </w:r>
          </w:p>
        </w:tc>
      </w:tr>
      <w:tr w:rsidR="002D4697" w:rsidRPr="002D4697" w:rsidTr="002D4697">
        <w:trPr>
          <w:trHeight w:val="439"/>
        </w:trPr>
        <w:tc>
          <w:tcPr>
            <w:tcW w:w="8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697" w:rsidRPr="00475F43" w:rsidRDefault="002D4697" w:rsidP="00063B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75F4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</w:t>
            </w:r>
            <w:r w:rsidR="00B23E9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Dossier 2</w:t>
            </w:r>
            <w:r w:rsidRPr="00475F4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:                                     </w:t>
            </w:r>
            <w:r w:rsidR="00063B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 </w:t>
            </w:r>
            <w:r w:rsidRPr="00475F4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           </w:t>
            </w:r>
            <w:r w:rsidR="0099433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  </w:t>
            </w:r>
            <w:r w:rsidRPr="00475F4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  </w:t>
            </w:r>
            <w:r w:rsidR="00063BF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8</w:t>
            </w:r>
            <w:r w:rsidRPr="00475F4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points</w:t>
            </w:r>
          </w:p>
        </w:tc>
      </w:tr>
      <w:tr w:rsidR="002D4697" w:rsidRPr="002D4697" w:rsidTr="002D4697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4697" w:rsidRPr="002D4697" w:rsidRDefault="002D4697" w:rsidP="002D46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D469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4697" w:rsidRDefault="002D4697" w:rsidP="002D46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D469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  <w:p w:rsidR="006E63C5" w:rsidRPr="002D4697" w:rsidRDefault="006E63C5" w:rsidP="002D46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4697" w:rsidRPr="002D4697" w:rsidRDefault="002D4697" w:rsidP="002D46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4697" w:rsidRPr="002D4697" w:rsidRDefault="002D4697" w:rsidP="002D46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D469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4697" w:rsidRPr="002D4697" w:rsidRDefault="002D4697" w:rsidP="002D46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D469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4697" w:rsidRPr="002D4697" w:rsidRDefault="002D4697" w:rsidP="002D46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D469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4697" w:rsidRPr="002D4697" w:rsidRDefault="002D4697" w:rsidP="002D46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D469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2D4697" w:rsidRPr="002D4697" w:rsidRDefault="002D4697" w:rsidP="002D4697">
      <w:pPr>
        <w:ind w:left="360"/>
        <w:rPr>
          <w:i/>
          <w:iCs/>
          <w:sz w:val="24"/>
          <w:szCs w:val="24"/>
        </w:rPr>
      </w:pPr>
    </w:p>
    <w:p w:rsidR="00B7263F" w:rsidRPr="002D4697" w:rsidRDefault="002D4697" w:rsidP="002D4697">
      <w:pPr>
        <w:pStyle w:val="Paragraphedeliste"/>
        <w:numPr>
          <w:ilvl w:val="0"/>
          <w:numId w:val="28"/>
        </w:numPr>
        <w:rPr>
          <w:i/>
          <w:iCs/>
          <w:sz w:val="24"/>
          <w:szCs w:val="24"/>
        </w:rPr>
      </w:pPr>
      <w:r w:rsidRPr="002D4697">
        <w:rPr>
          <w:i/>
          <w:iCs/>
          <w:sz w:val="24"/>
          <w:szCs w:val="24"/>
        </w:rPr>
        <w:t>Aucun document n’est autorisé.</w:t>
      </w:r>
    </w:p>
    <w:p w:rsidR="002D4697" w:rsidRPr="002D4697" w:rsidRDefault="002D4697" w:rsidP="00160BB4">
      <w:pPr>
        <w:pStyle w:val="Paragraphedeliste"/>
        <w:numPr>
          <w:ilvl w:val="0"/>
          <w:numId w:val="28"/>
        </w:numPr>
        <w:rPr>
          <w:i/>
          <w:iCs/>
          <w:sz w:val="24"/>
          <w:szCs w:val="24"/>
        </w:rPr>
      </w:pPr>
      <w:r w:rsidRPr="002D4697">
        <w:rPr>
          <w:i/>
          <w:iCs/>
          <w:sz w:val="24"/>
          <w:szCs w:val="24"/>
        </w:rPr>
        <w:t>Matériel autoris</w:t>
      </w:r>
      <w:r w:rsidR="00160BB4">
        <w:rPr>
          <w:i/>
          <w:iCs/>
          <w:sz w:val="24"/>
          <w:szCs w:val="24"/>
        </w:rPr>
        <w:t>é</w:t>
      </w:r>
      <w:r w:rsidRPr="002D4697">
        <w:rPr>
          <w:i/>
          <w:iCs/>
          <w:sz w:val="24"/>
          <w:szCs w:val="24"/>
        </w:rPr>
        <w:t> : une calculatrice de poche à fonctionnement autonome, sans imprimante et sans aucun moyen de transmission, à l’exclusion de tout autre élément matériel.</w:t>
      </w:r>
    </w:p>
    <w:p w:rsidR="002D4697" w:rsidRDefault="002D4697" w:rsidP="00B23EDB">
      <w:pPr>
        <w:pStyle w:val="Paragraphedeliste"/>
        <w:numPr>
          <w:ilvl w:val="0"/>
          <w:numId w:val="28"/>
        </w:numPr>
        <w:rPr>
          <w:i/>
          <w:iCs/>
          <w:sz w:val="24"/>
          <w:szCs w:val="24"/>
        </w:rPr>
      </w:pPr>
      <w:r w:rsidRPr="002D4697">
        <w:rPr>
          <w:i/>
          <w:iCs/>
          <w:sz w:val="24"/>
          <w:szCs w:val="24"/>
        </w:rPr>
        <w:t xml:space="preserve">Le sujet comporte </w:t>
      </w:r>
      <w:r w:rsidR="00B23EDB">
        <w:rPr>
          <w:b/>
          <w:bCs/>
          <w:i/>
          <w:iCs/>
          <w:sz w:val="24"/>
          <w:szCs w:val="24"/>
        </w:rPr>
        <w:t>5</w:t>
      </w:r>
      <w:r w:rsidR="009A0871" w:rsidRPr="001D0A07">
        <w:rPr>
          <w:b/>
          <w:bCs/>
          <w:i/>
          <w:iCs/>
          <w:sz w:val="24"/>
          <w:szCs w:val="24"/>
        </w:rPr>
        <w:t xml:space="preserve"> </w:t>
      </w:r>
      <w:r w:rsidRPr="002D4697">
        <w:rPr>
          <w:i/>
          <w:iCs/>
          <w:sz w:val="24"/>
          <w:szCs w:val="24"/>
        </w:rPr>
        <w:t xml:space="preserve">pages y compris la page de garde, et en annexe figure une copie de la convention de non double imposition </w:t>
      </w:r>
      <w:proofErr w:type="spellStart"/>
      <w:r w:rsidRPr="002D4697">
        <w:rPr>
          <w:i/>
          <w:iCs/>
          <w:sz w:val="24"/>
          <w:szCs w:val="24"/>
        </w:rPr>
        <w:t>Tuniso</w:t>
      </w:r>
      <w:proofErr w:type="spellEnd"/>
      <w:r w:rsidRPr="002D4697">
        <w:rPr>
          <w:i/>
          <w:iCs/>
          <w:sz w:val="24"/>
          <w:szCs w:val="24"/>
        </w:rPr>
        <w:t>-</w:t>
      </w:r>
      <w:r w:rsidR="00B23EDB">
        <w:rPr>
          <w:i/>
          <w:iCs/>
          <w:sz w:val="24"/>
          <w:szCs w:val="24"/>
        </w:rPr>
        <w:t>Turquie</w:t>
      </w:r>
      <w:r w:rsidR="00160BB4">
        <w:rPr>
          <w:i/>
          <w:iCs/>
          <w:sz w:val="24"/>
          <w:szCs w:val="24"/>
        </w:rPr>
        <w:t>.</w:t>
      </w:r>
    </w:p>
    <w:p w:rsidR="00FA50FD" w:rsidRPr="002D4697" w:rsidRDefault="00FA50FD" w:rsidP="00B23EDB">
      <w:pPr>
        <w:pStyle w:val="Paragraphedeliste"/>
        <w:numPr>
          <w:ilvl w:val="0"/>
          <w:numId w:val="28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Le </w:t>
      </w:r>
      <w:r w:rsidR="00784F2F">
        <w:rPr>
          <w:i/>
          <w:iCs/>
          <w:sz w:val="24"/>
          <w:szCs w:val="24"/>
        </w:rPr>
        <w:t>J</w:t>
      </w:r>
      <w:r>
        <w:rPr>
          <w:i/>
          <w:iCs/>
          <w:sz w:val="24"/>
          <w:szCs w:val="24"/>
        </w:rPr>
        <w:t>apon</w:t>
      </w:r>
      <w:r w:rsidR="003818A5">
        <w:rPr>
          <w:i/>
          <w:iCs/>
          <w:sz w:val="24"/>
          <w:szCs w:val="24"/>
        </w:rPr>
        <w:t xml:space="preserve"> </w:t>
      </w:r>
      <w:r w:rsidR="00784F2F">
        <w:rPr>
          <w:i/>
          <w:iCs/>
          <w:sz w:val="24"/>
          <w:szCs w:val="24"/>
        </w:rPr>
        <w:t>n</w:t>
      </w:r>
      <w:r w:rsidR="00B23EDB">
        <w:rPr>
          <w:i/>
          <w:iCs/>
          <w:sz w:val="24"/>
          <w:szCs w:val="24"/>
        </w:rPr>
        <w:t>’</w:t>
      </w:r>
      <w:r w:rsidR="003818A5">
        <w:rPr>
          <w:i/>
          <w:iCs/>
          <w:sz w:val="24"/>
          <w:szCs w:val="24"/>
        </w:rPr>
        <w:t>e</w:t>
      </w:r>
      <w:r w:rsidR="00B23EDB">
        <w:rPr>
          <w:i/>
          <w:iCs/>
          <w:sz w:val="24"/>
          <w:szCs w:val="24"/>
        </w:rPr>
        <w:t>st</w:t>
      </w:r>
      <w:r>
        <w:rPr>
          <w:i/>
          <w:iCs/>
          <w:sz w:val="24"/>
          <w:szCs w:val="24"/>
        </w:rPr>
        <w:t xml:space="preserve"> pas </w:t>
      </w:r>
      <w:r w:rsidR="00B23EDB">
        <w:rPr>
          <w:i/>
          <w:iCs/>
          <w:sz w:val="24"/>
          <w:szCs w:val="24"/>
        </w:rPr>
        <w:t>lié</w:t>
      </w:r>
      <w:r>
        <w:rPr>
          <w:i/>
          <w:iCs/>
          <w:sz w:val="24"/>
          <w:szCs w:val="24"/>
        </w:rPr>
        <w:t xml:space="preserve"> avec la Tunisie par </w:t>
      </w:r>
      <w:r w:rsidR="00B23EDB">
        <w:rPr>
          <w:i/>
          <w:iCs/>
          <w:sz w:val="24"/>
          <w:szCs w:val="24"/>
        </w:rPr>
        <w:t>une</w:t>
      </w:r>
      <w:r>
        <w:rPr>
          <w:i/>
          <w:iCs/>
          <w:sz w:val="24"/>
          <w:szCs w:val="24"/>
        </w:rPr>
        <w:t xml:space="preserve"> </w:t>
      </w:r>
      <w:r w:rsidR="00B23EDB">
        <w:rPr>
          <w:i/>
          <w:iCs/>
          <w:sz w:val="24"/>
          <w:szCs w:val="24"/>
        </w:rPr>
        <w:t>convention</w:t>
      </w:r>
      <w:r>
        <w:rPr>
          <w:i/>
          <w:iCs/>
          <w:sz w:val="24"/>
          <w:szCs w:val="24"/>
        </w:rPr>
        <w:t xml:space="preserve"> de non double imposition</w:t>
      </w:r>
      <w:r w:rsidR="006636E8">
        <w:rPr>
          <w:i/>
          <w:iCs/>
          <w:sz w:val="24"/>
          <w:szCs w:val="24"/>
        </w:rPr>
        <w:t>.</w:t>
      </w:r>
    </w:p>
    <w:p w:rsidR="002D4697" w:rsidRDefault="002D4697" w:rsidP="002D4697">
      <w:pPr>
        <w:pStyle w:val="Paragraphedeliste"/>
        <w:numPr>
          <w:ilvl w:val="0"/>
          <w:numId w:val="28"/>
        </w:numPr>
        <w:rPr>
          <w:i/>
          <w:iCs/>
          <w:sz w:val="24"/>
          <w:szCs w:val="24"/>
        </w:rPr>
      </w:pPr>
      <w:r w:rsidRPr="002D4697">
        <w:rPr>
          <w:i/>
          <w:iCs/>
          <w:sz w:val="24"/>
          <w:szCs w:val="24"/>
        </w:rPr>
        <w:t>Si le texte du sujet (ou de ses questions) vous conduit à formuler une ou plusieurs hypothèses, il vous est demandé de la (ou les) mentionner explicitement dans votre copie.</w:t>
      </w:r>
    </w:p>
    <w:p w:rsidR="00653824" w:rsidRDefault="00653824" w:rsidP="002D4697">
      <w:pPr>
        <w:pStyle w:val="Paragraphedeliste"/>
        <w:numPr>
          <w:ilvl w:val="0"/>
          <w:numId w:val="28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Les chiffres présentés au niveau de cet examen sont en hors TVA.</w:t>
      </w:r>
    </w:p>
    <w:p w:rsidR="003818A5" w:rsidRDefault="003818A5" w:rsidP="003818A5">
      <w:pPr>
        <w:pStyle w:val="Paragraphedeliste"/>
        <w:numPr>
          <w:ilvl w:val="0"/>
          <w:numId w:val="28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Le droit d’enregistrement n’est pas visé dans cet examen.</w:t>
      </w:r>
    </w:p>
    <w:tbl>
      <w:tblPr>
        <w:tblW w:w="8400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1200"/>
        <w:gridCol w:w="1200"/>
        <w:gridCol w:w="1200"/>
        <w:gridCol w:w="1200"/>
        <w:gridCol w:w="1200"/>
        <w:gridCol w:w="1200"/>
        <w:gridCol w:w="1200"/>
      </w:tblGrid>
      <w:tr w:rsidR="00160BB4" w:rsidRPr="00160BB4" w:rsidTr="00160BB4">
        <w:trPr>
          <w:trHeight w:val="282"/>
        </w:trPr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BB4" w:rsidRPr="00160BB4" w:rsidRDefault="00160BB4" w:rsidP="00160B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60BB4">
              <w:rPr>
                <w:rFonts w:ascii="Calibri" w:eastAsia="Times New Roman" w:hAnsi="Calibri" w:cs="Times New Roman"/>
                <w:color w:val="000000"/>
                <w:lang w:eastAsia="fr-FR"/>
              </w:rPr>
              <w:lastRenderedPageBreak/>
              <w:t> 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BB4" w:rsidRPr="00160BB4" w:rsidRDefault="00160BB4" w:rsidP="00160B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60BB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BB4" w:rsidRPr="00160BB4" w:rsidRDefault="00160BB4" w:rsidP="00160B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60BB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BB4" w:rsidRPr="00160BB4" w:rsidRDefault="00160BB4" w:rsidP="00160B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60BB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BB4" w:rsidRPr="00160BB4" w:rsidRDefault="00160BB4" w:rsidP="00160B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60BB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BB4" w:rsidRPr="00160BB4" w:rsidRDefault="00160BB4" w:rsidP="00160B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60BB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BB4" w:rsidRPr="00160BB4" w:rsidRDefault="00160BB4" w:rsidP="00160B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60BB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160BB4" w:rsidRPr="00160BB4" w:rsidTr="00160BB4">
        <w:trPr>
          <w:trHeight w:val="402"/>
        </w:trPr>
        <w:tc>
          <w:tcPr>
            <w:tcW w:w="8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BB4" w:rsidRPr="001F0061" w:rsidRDefault="003818A5" w:rsidP="00160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</w:pPr>
            <w:r w:rsidRPr="001F006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  <w:t>Il</w:t>
            </w:r>
            <w:r w:rsidR="00160BB4" w:rsidRPr="001F006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  <w:t xml:space="preserve"> vous est demandé d’apporter un soin particulier à la présentation de votre copie</w:t>
            </w:r>
            <w:r w:rsidR="00475F43" w:rsidRPr="001F006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  <w:t>.</w:t>
            </w:r>
          </w:p>
        </w:tc>
      </w:tr>
      <w:tr w:rsidR="00160BB4" w:rsidRPr="00160BB4" w:rsidTr="00160BB4">
        <w:trPr>
          <w:trHeight w:val="402"/>
        </w:trPr>
        <w:tc>
          <w:tcPr>
            <w:tcW w:w="8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BB4" w:rsidRPr="001F0061" w:rsidRDefault="00160BB4" w:rsidP="00160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</w:pPr>
            <w:r w:rsidRPr="001F006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  <w:t>Toute information calculée devra être justifiée.</w:t>
            </w:r>
          </w:p>
        </w:tc>
      </w:tr>
      <w:tr w:rsidR="00160BB4" w:rsidRPr="00160BB4" w:rsidTr="00160BB4">
        <w:trPr>
          <w:trHeight w:val="282"/>
        </w:trPr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BB4" w:rsidRPr="00160BB4" w:rsidRDefault="00160BB4" w:rsidP="00160B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60BB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BB4" w:rsidRPr="00160BB4" w:rsidRDefault="00160BB4" w:rsidP="00160B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60BB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BB4" w:rsidRPr="00160BB4" w:rsidRDefault="00160BB4" w:rsidP="00160B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60BB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BB4" w:rsidRPr="00160BB4" w:rsidRDefault="00160BB4" w:rsidP="00160B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60BB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BB4" w:rsidRPr="00160BB4" w:rsidRDefault="00160BB4" w:rsidP="00160B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60BB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BB4" w:rsidRPr="00160BB4" w:rsidRDefault="00160BB4" w:rsidP="00160B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60BB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BB4" w:rsidRPr="00160BB4" w:rsidRDefault="00160BB4" w:rsidP="00160B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60BB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7A4A2A" w:rsidRDefault="00B23E94" w:rsidP="00994331">
      <w:pPr>
        <w:spacing w:before="240" w:after="240" w:line="360" w:lineRule="auto"/>
        <w:jc w:val="both"/>
        <w:rPr>
          <w:rFonts w:asciiTheme="majorHAnsi" w:hAnsiTheme="majorHAnsi"/>
          <w:sz w:val="24"/>
          <w:szCs w:val="24"/>
        </w:rPr>
      </w:pPr>
      <w:r w:rsidRPr="007A4A2A">
        <w:rPr>
          <w:rFonts w:asciiTheme="majorHAnsi" w:hAnsiTheme="majorHAnsi"/>
          <w:sz w:val="24"/>
          <w:szCs w:val="24"/>
        </w:rPr>
        <w:t>Vous venez d’obtenir votre CES Révision comptable et vous commencez votre stage réglementaire dans</w:t>
      </w:r>
      <w:r w:rsidR="007A4A2A">
        <w:rPr>
          <w:rFonts w:asciiTheme="majorHAnsi" w:hAnsiTheme="majorHAnsi"/>
          <w:sz w:val="24"/>
          <w:szCs w:val="24"/>
        </w:rPr>
        <w:t xml:space="preserve"> la société d’expertise comptable </w:t>
      </w:r>
      <w:r w:rsidR="007A4A2A" w:rsidRPr="007A4A2A">
        <w:rPr>
          <w:rFonts w:asciiTheme="majorHAnsi" w:hAnsiTheme="majorHAnsi"/>
          <w:b/>
          <w:bCs/>
          <w:i/>
          <w:iCs/>
          <w:sz w:val="24"/>
          <w:szCs w:val="24"/>
        </w:rPr>
        <w:t>«KPMA»</w:t>
      </w:r>
      <w:r w:rsidR="007A4A2A">
        <w:rPr>
          <w:rFonts w:asciiTheme="majorHAnsi" w:hAnsiTheme="majorHAnsi"/>
          <w:sz w:val="24"/>
          <w:szCs w:val="24"/>
        </w:rPr>
        <w:t>, inscrite au tableau de l’ordre des experts comptables de Tunisie. Le capital social est détenu par 3 experts comptables.</w:t>
      </w:r>
    </w:p>
    <w:p w:rsidR="00160BB4" w:rsidRPr="007A4A2A" w:rsidRDefault="007A4A2A" w:rsidP="007A4A2A">
      <w:pPr>
        <w:spacing w:before="240" w:after="24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Le gérant vous présente des situations rencontrées au sein du cabinet et vous demande de lui</w:t>
      </w:r>
      <w:r w:rsidR="00B23E94" w:rsidRPr="007A4A2A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rédiger une note sur la conformité des diligences entreprise par le cabinet à la réglementation fiscale Tunisienne.</w:t>
      </w:r>
    </w:p>
    <w:tbl>
      <w:tblPr>
        <w:tblW w:w="9233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1200"/>
        <w:gridCol w:w="1200"/>
        <w:gridCol w:w="1200"/>
        <w:gridCol w:w="1200"/>
        <w:gridCol w:w="1200"/>
        <w:gridCol w:w="1200"/>
        <w:gridCol w:w="2033"/>
      </w:tblGrid>
      <w:tr w:rsidR="00160BB4" w:rsidRPr="00160BB4" w:rsidTr="00202494">
        <w:trPr>
          <w:trHeight w:val="402"/>
        </w:trPr>
        <w:tc>
          <w:tcPr>
            <w:tcW w:w="92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BB4" w:rsidRPr="00160BB4" w:rsidRDefault="00B23E94" w:rsidP="00354A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DOSSIER 1</w:t>
            </w:r>
            <w:r w:rsidR="00160BB4" w:rsidRPr="00160BB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: (</w:t>
            </w:r>
            <w:r w:rsidR="00354AC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12</w:t>
            </w:r>
            <w:r w:rsidR="00160BB4" w:rsidRPr="00160BB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points)</w:t>
            </w:r>
          </w:p>
        </w:tc>
      </w:tr>
      <w:tr w:rsidR="00160BB4" w:rsidRPr="00160BB4" w:rsidTr="00202494">
        <w:trPr>
          <w:trHeight w:val="19"/>
        </w:trPr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BB4" w:rsidRPr="00160BB4" w:rsidRDefault="00160BB4" w:rsidP="00160B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60BB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BB4" w:rsidRPr="00160BB4" w:rsidRDefault="00160BB4" w:rsidP="00160B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60BB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BB4" w:rsidRPr="00160BB4" w:rsidRDefault="00160BB4" w:rsidP="00160B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60BB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BB4" w:rsidRPr="00160BB4" w:rsidRDefault="00160BB4" w:rsidP="00160B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60BB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BB4" w:rsidRPr="00160BB4" w:rsidRDefault="00160BB4" w:rsidP="00160B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60BB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BB4" w:rsidRPr="00160BB4" w:rsidRDefault="00160BB4" w:rsidP="00160B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60BB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BB4" w:rsidRPr="00160BB4" w:rsidRDefault="00160BB4" w:rsidP="00160B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60BB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095611" w:rsidRPr="00095611" w:rsidTr="00202494">
        <w:trPr>
          <w:trHeight w:val="402"/>
        </w:trPr>
        <w:tc>
          <w:tcPr>
            <w:tcW w:w="92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C5" w:rsidRDefault="006E63C5" w:rsidP="00362E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7A6344" w:rsidRDefault="006E63C5" w:rsidP="007A6344">
            <w:pPr>
              <w:spacing w:before="240" w:after="240"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0113B3">
              <w:rPr>
                <w:rFonts w:asciiTheme="majorHAnsi" w:hAnsiTheme="majorHAnsi"/>
                <w:sz w:val="24"/>
                <w:szCs w:val="24"/>
              </w:rPr>
              <w:t xml:space="preserve">La société </w:t>
            </w:r>
            <w:r w:rsidR="007A6344" w:rsidRPr="007A6344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«</w:t>
            </w:r>
            <w:r w:rsidR="00202494" w:rsidRPr="007A6344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ABC</w:t>
            </w:r>
            <w:r w:rsidR="007A6344" w:rsidRPr="007A6344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»</w:t>
            </w:r>
            <w:r w:rsidRPr="000113B3">
              <w:rPr>
                <w:rFonts w:asciiTheme="majorHAnsi" w:hAnsiTheme="majorHAnsi"/>
                <w:sz w:val="24"/>
                <w:szCs w:val="24"/>
              </w:rPr>
              <w:t xml:space="preserve"> est une société anonyme résidente en Tunisie qui exerce son activité dans le domaine de</w:t>
            </w:r>
            <w:r w:rsidR="007F719F">
              <w:rPr>
                <w:rFonts w:asciiTheme="majorHAnsi" w:hAnsiTheme="majorHAnsi"/>
                <w:sz w:val="24"/>
                <w:szCs w:val="24"/>
              </w:rPr>
              <w:t xml:space="preserve"> l’industrie de l’automobile</w:t>
            </w:r>
            <w:r w:rsidRPr="000113B3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6042E5">
              <w:rPr>
                <w:rFonts w:asciiTheme="majorHAnsi" w:hAnsiTheme="majorHAnsi"/>
                <w:sz w:val="24"/>
                <w:szCs w:val="24"/>
              </w:rPr>
              <w:t xml:space="preserve">Afin de bénéficier des avantages fiscaux prévus par le CII, son PDG, Mr </w:t>
            </w:r>
            <w:r w:rsidR="007A6344" w:rsidRPr="007A6344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«</w:t>
            </w:r>
            <w:r w:rsidR="006042E5" w:rsidRPr="007A6344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Ben </w:t>
            </w:r>
            <w:proofErr w:type="spellStart"/>
            <w:r w:rsidR="006042E5" w:rsidRPr="007A6344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Hlima</w:t>
            </w:r>
            <w:proofErr w:type="spellEnd"/>
            <w:r w:rsidR="007A6344" w:rsidRPr="007A6344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»</w:t>
            </w:r>
            <w:r w:rsidR="006042E5">
              <w:rPr>
                <w:rFonts w:asciiTheme="majorHAnsi" w:hAnsiTheme="majorHAnsi"/>
                <w:sz w:val="24"/>
                <w:szCs w:val="24"/>
              </w:rPr>
              <w:t xml:space="preserve">, visant une gestion fiscale optimale, décide de </w:t>
            </w:r>
            <w:r w:rsidR="007F719F">
              <w:rPr>
                <w:rFonts w:asciiTheme="majorHAnsi" w:hAnsiTheme="majorHAnsi"/>
                <w:sz w:val="24"/>
                <w:szCs w:val="24"/>
              </w:rPr>
              <w:t xml:space="preserve">créer </w:t>
            </w:r>
            <w:r w:rsidR="007A6344">
              <w:rPr>
                <w:rFonts w:asciiTheme="majorHAnsi" w:hAnsiTheme="majorHAnsi"/>
                <w:sz w:val="24"/>
                <w:szCs w:val="24"/>
              </w:rPr>
              <w:t>une nouvelle</w:t>
            </w:r>
            <w:r w:rsidR="007F719F">
              <w:rPr>
                <w:rFonts w:asciiTheme="majorHAnsi" w:hAnsiTheme="majorHAnsi"/>
                <w:sz w:val="24"/>
                <w:szCs w:val="24"/>
              </w:rPr>
              <w:t xml:space="preserve"> usine</w:t>
            </w:r>
            <w:r w:rsidR="0039025C">
              <w:rPr>
                <w:rFonts w:asciiTheme="majorHAnsi" w:hAnsiTheme="majorHAnsi"/>
                <w:sz w:val="24"/>
                <w:szCs w:val="24"/>
              </w:rPr>
              <w:t>, par voie de développement externe,</w:t>
            </w:r>
            <w:r w:rsidR="007F719F">
              <w:rPr>
                <w:rFonts w:asciiTheme="majorHAnsi" w:hAnsiTheme="majorHAnsi"/>
                <w:sz w:val="24"/>
                <w:szCs w:val="24"/>
              </w:rPr>
              <w:t xml:space="preserve"> dans une zone de développement régional prioritaire</w:t>
            </w:r>
            <w:r w:rsidR="007A6344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7A6344" w:rsidRDefault="007A6344" w:rsidP="007A6344">
            <w:pPr>
              <w:spacing w:before="240" w:after="240"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Pour l’étude de faisabilité de son projet industrielle, la société </w:t>
            </w:r>
            <w:r w:rsidRPr="007A6344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«ABC»</w:t>
            </w:r>
            <w:r w:rsidRPr="000113B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a fait appel </w:t>
            </w:r>
            <w:r w:rsidR="00720EB5">
              <w:rPr>
                <w:rFonts w:asciiTheme="majorHAnsi" w:hAnsiTheme="majorHAnsi"/>
                <w:sz w:val="24"/>
                <w:szCs w:val="24"/>
              </w:rPr>
              <w:t>à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un bureau d’étude Japonais pour un montant total de 180.000 TND. Le contrat en question a été conclu à Paris et l’étude sera </w:t>
            </w:r>
            <w:r w:rsidR="00720EB5">
              <w:rPr>
                <w:rFonts w:asciiTheme="majorHAnsi" w:hAnsiTheme="majorHAnsi"/>
                <w:sz w:val="24"/>
                <w:szCs w:val="24"/>
              </w:rPr>
              <w:t>réalisée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à Tokyo.</w:t>
            </w:r>
          </w:p>
          <w:p w:rsidR="00720EB5" w:rsidRDefault="00720EB5" w:rsidP="0039025C">
            <w:pPr>
              <w:spacing w:before="240" w:after="240"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Pour la construction de son usine la société </w:t>
            </w:r>
            <w:r w:rsidRPr="007A6344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«ABC»</w:t>
            </w:r>
            <w:r w:rsidRPr="000113B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a fait appel à un groupement constitué par une entreprise Tunisienne spécialisée dans le bâtiment</w:t>
            </w:r>
            <w:r w:rsidR="0039025C">
              <w:rPr>
                <w:rFonts w:asciiTheme="majorHAnsi" w:hAnsiTheme="majorHAnsi"/>
                <w:sz w:val="24"/>
                <w:szCs w:val="24"/>
              </w:rPr>
              <w:t xml:space="preserve"> industrielle dénommée </w:t>
            </w:r>
            <w:r w:rsidRPr="00720EB5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«</w:t>
            </w:r>
            <w:r w:rsidR="0039025C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T</w:t>
            </w:r>
            <w:r w:rsidRPr="00720EB5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ravaux de </w:t>
            </w:r>
            <w:r w:rsidR="0039025C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B</w:t>
            </w:r>
            <w:r w:rsidRPr="00720EB5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âtiment»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et une société Turque dénommée </w:t>
            </w:r>
            <w:r w:rsidRPr="00720EB5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«</w:t>
            </w:r>
            <w:r w:rsidR="0039025C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T</w:t>
            </w:r>
            <w:r w:rsidRPr="00720EB5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out Turque»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pour la fourniture des équipements industriels et les travaux de montage.  </w:t>
            </w:r>
          </w:p>
          <w:p w:rsidR="006E63C5" w:rsidRDefault="00720EB5" w:rsidP="00720EB5">
            <w:pPr>
              <w:spacing w:before="240" w:after="240"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Le contrat de marché a été conclu au cours de mois de janvier 2012 et </w:t>
            </w:r>
            <w:r w:rsidR="009823B1">
              <w:rPr>
                <w:rFonts w:asciiTheme="majorHAnsi" w:hAnsiTheme="majorHAnsi"/>
                <w:sz w:val="24"/>
                <w:szCs w:val="24"/>
              </w:rPr>
              <w:t>prévoit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notamment les clauses suivantes :</w:t>
            </w:r>
          </w:p>
          <w:p w:rsidR="009823B1" w:rsidRDefault="009823B1" w:rsidP="00720EB5">
            <w:pPr>
              <w:spacing w:before="240" w:after="240"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9823B1" w:rsidRDefault="00720EB5" w:rsidP="009823B1">
            <w:pPr>
              <w:pStyle w:val="Paragraphedeliste"/>
              <w:numPr>
                <w:ilvl w:val="0"/>
                <w:numId w:val="33"/>
              </w:numPr>
              <w:spacing w:before="240" w:after="240"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Le montant total du marché s’</w:t>
            </w:r>
            <w:r w:rsidR="009823B1">
              <w:rPr>
                <w:rFonts w:asciiTheme="majorHAnsi" w:hAnsiTheme="majorHAnsi"/>
                <w:sz w:val="24"/>
                <w:szCs w:val="24"/>
              </w:rPr>
              <w:t>élève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à 3.600.000 TND </w:t>
            </w:r>
            <w:r w:rsidR="009823B1">
              <w:rPr>
                <w:rFonts w:asciiTheme="majorHAnsi" w:hAnsiTheme="majorHAnsi"/>
                <w:sz w:val="24"/>
                <w:szCs w:val="24"/>
              </w:rPr>
              <w:t>se détaillent comme suit :</w:t>
            </w:r>
          </w:p>
          <w:p w:rsidR="00720EB5" w:rsidRPr="009823B1" w:rsidRDefault="00720EB5" w:rsidP="009823B1">
            <w:pPr>
              <w:pStyle w:val="Paragraphedeliste"/>
              <w:numPr>
                <w:ilvl w:val="0"/>
                <w:numId w:val="35"/>
              </w:numPr>
              <w:spacing w:before="240" w:after="240" w:line="360" w:lineRule="auto"/>
              <w:ind w:left="1367" w:hanging="284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823B1">
              <w:rPr>
                <w:rFonts w:asciiTheme="majorHAnsi" w:hAnsiTheme="majorHAnsi"/>
                <w:sz w:val="24"/>
                <w:szCs w:val="24"/>
              </w:rPr>
              <w:t>1.</w:t>
            </w:r>
            <w:r w:rsidR="009823B1" w:rsidRPr="009823B1">
              <w:rPr>
                <w:rFonts w:asciiTheme="majorHAnsi" w:hAnsiTheme="majorHAnsi"/>
                <w:sz w:val="24"/>
                <w:szCs w:val="24"/>
              </w:rPr>
              <w:t>4</w:t>
            </w:r>
            <w:r w:rsidRPr="009823B1">
              <w:rPr>
                <w:rFonts w:asciiTheme="majorHAnsi" w:hAnsiTheme="majorHAnsi"/>
                <w:sz w:val="24"/>
                <w:szCs w:val="24"/>
              </w:rPr>
              <w:t xml:space="preserve">00.000 TND pour les travaux de </w:t>
            </w:r>
            <w:r w:rsidR="009823B1" w:rsidRPr="009823B1">
              <w:rPr>
                <w:rFonts w:asciiTheme="majorHAnsi" w:hAnsiTheme="majorHAnsi"/>
                <w:sz w:val="24"/>
                <w:szCs w:val="24"/>
              </w:rPr>
              <w:t>bâtiment</w:t>
            </w:r>
            <w:r w:rsidR="009823B1">
              <w:rPr>
                <w:rFonts w:asciiTheme="majorHAnsi" w:hAnsiTheme="majorHAnsi"/>
                <w:sz w:val="24"/>
                <w:szCs w:val="24"/>
              </w:rPr>
              <w:t> ;</w:t>
            </w:r>
            <w:r w:rsidRPr="009823B1">
              <w:rPr>
                <w:rFonts w:asciiTheme="majorHAnsi" w:hAnsiTheme="majorHAnsi"/>
                <w:sz w:val="24"/>
                <w:szCs w:val="24"/>
              </w:rPr>
              <w:t xml:space="preserve">  </w:t>
            </w:r>
          </w:p>
          <w:p w:rsidR="009823B1" w:rsidRPr="009823B1" w:rsidRDefault="009823B1" w:rsidP="009823B1">
            <w:pPr>
              <w:pStyle w:val="Paragraphedeliste"/>
              <w:numPr>
                <w:ilvl w:val="0"/>
                <w:numId w:val="35"/>
              </w:numPr>
              <w:spacing w:before="240" w:after="240" w:line="360" w:lineRule="auto"/>
              <w:ind w:left="1367" w:hanging="284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823B1">
              <w:rPr>
                <w:rFonts w:asciiTheme="majorHAnsi" w:hAnsiTheme="majorHAnsi"/>
                <w:sz w:val="24"/>
                <w:szCs w:val="24"/>
              </w:rPr>
              <w:t>2.000.000 TND pour les équipements industriels</w:t>
            </w:r>
            <w:r>
              <w:rPr>
                <w:rFonts w:asciiTheme="majorHAnsi" w:hAnsiTheme="majorHAnsi"/>
                <w:sz w:val="24"/>
                <w:szCs w:val="24"/>
              </w:rPr>
              <w:t> ;</w:t>
            </w:r>
          </w:p>
          <w:p w:rsidR="009823B1" w:rsidRDefault="009823B1" w:rsidP="009823B1">
            <w:pPr>
              <w:pStyle w:val="Paragraphedeliste"/>
              <w:numPr>
                <w:ilvl w:val="0"/>
                <w:numId w:val="35"/>
              </w:numPr>
              <w:spacing w:before="240" w:after="240" w:line="360" w:lineRule="auto"/>
              <w:ind w:left="1367" w:hanging="284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823B1">
              <w:rPr>
                <w:rFonts w:asciiTheme="majorHAnsi" w:hAnsiTheme="majorHAnsi"/>
                <w:sz w:val="24"/>
                <w:szCs w:val="24"/>
              </w:rPr>
              <w:t>200.000 TND pour les travaux de montage des équipements</w:t>
            </w:r>
            <w:r>
              <w:rPr>
                <w:rFonts w:asciiTheme="majorHAnsi" w:hAnsiTheme="majorHAnsi"/>
                <w:sz w:val="24"/>
                <w:szCs w:val="24"/>
              </w:rPr>
              <w:t> ;</w:t>
            </w:r>
          </w:p>
          <w:p w:rsidR="009823B1" w:rsidRDefault="009823B1" w:rsidP="00552B66">
            <w:pPr>
              <w:pStyle w:val="Paragraphedeliste"/>
              <w:numPr>
                <w:ilvl w:val="0"/>
                <w:numId w:val="33"/>
              </w:numPr>
              <w:spacing w:before="240" w:after="240"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La durée totale du marché est fixée à 12 mois à compter du 1</w:t>
            </w:r>
            <w:r w:rsidRPr="009823B1">
              <w:rPr>
                <w:rFonts w:asciiTheme="majorHAnsi" w:hAnsiTheme="majorHAnsi"/>
                <w:sz w:val="24"/>
                <w:szCs w:val="24"/>
                <w:vertAlign w:val="superscript"/>
              </w:rPr>
              <w:t>er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mars 2012 dont     </w:t>
            </w:r>
            <w:r w:rsidR="00552B66">
              <w:rPr>
                <w:rFonts w:asciiTheme="majorHAnsi" w:hAnsiTheme="majorHAnsi"/>
                <w:sz w:val="24"/>
                <w:szCs w:val="24"/>
              </w:rPr>
              <w:t>121 jours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pour les travaux de montage.</w:t>
            </w:r>
          </w:p>
          <w:p w:rsidR="009823B1" w:rsidRPr="009823B1" w:rsidRDefault="009823B1" w:rsidP="009823B1">
            <w:pPr>
              <w:pStyle w:val="Paragraphedeliste"/>
              <w:numPr>
                <w:ilvl w:val="0"/>
                <w:numId w:val="33"/>
              </w:numPr>
              <w:spacing w:before="240" w:after="240"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Chaque membre du groupement doit facturer ses travaux et fournitures séparément.</w:t>
            </w:r>
          </w:p>
          <w:p w:rsidR="009823B1" w:rsidRPr="00552B66" w:rsidRDefault="009823B1" w:rsidP="0039025C">
            <w:pPr>
              <w:spacing w:before="240" w:after="240"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52B66">
              <w:rPr>
                <w:rFonts w:asciiTheme="majorHAnsi" w:hAnsiTheme="majorHAnsi"/>
                <w:sz w:val="24"/>
                <w:szCs w:val="24"/>
              </w:rPr>
              <w:t xml:space="preserve">L’opération d’achat des équipements a été financée par une autre société domiciliée en Turquie dénommé </w:t>
            </w:r>
            <w:r w:rsidRPr="00552B66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«</w:t>
            </w:r>
            <w:r w:rsidR="0039025C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T</w:t>
            </w:r>
            <w:r w:rsidRPr="00552B66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out Turque finance»</w:t>
            </w:r>
            <w:r w:rsidRPr="00552B66">
              <w:rPr>
                <w:rFonts w:asciiTheme="majorHAnsi" w:hAnsiTheme="majorHAnsi"/>
                <w:sz w:val="24"/>
                <w:szCs w:val="24"/>
              </w:rPr>
              <w:t xml:space="preserve"> et appartenant au même groupe que la société </w:t>
            </w:r>
            <w:r w:rsidRPr="00552B66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«tout Turque». </w:t>
            </w:r>
            <w:r w:rsidRPr="00552B66">
              <w:rPr>
                <w:rFonts w:asciiTheme="majorHAnsi" w:hAnsiTheme="majorHAnsi"/>
                <w:sz w:val="24"/>
                <w:szCs w:val="24"/>
              </w:rPr>
              <w:t>Le financement se fait dans les conditions suivantes :</w:t>
            </w:r>
          </w:p>
          <w:p w:rsidR="009823B1" w:rsidRDefault="009823B1" w:rsidP="00552B66">
            <w:pPr>
              <w:pStyle w:val="Paragraphedeliste"/>
              <w:numPr>
                <w:ilvl w:val="0"/>
                <w:numId w:val="35"/>
              </w:numPr>
              <w:spacing w:before="240" w:after="240" w:line="360" w:lineRule="auto"/>
              <w:ind w:left="1367" w:hanging="284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Durée 5 ans</w:t>
            </w:r>
          </w:p>
          <w:p w:rsidR="009823B1" w:rsidRDefault="009823B1" w:rsidP="00552B66">
            <w:pPr>
              <w:pStyle w:val="Paragraphedeliste"/>
              <w:numPr>
                <w:ilvl w:val="0"/>
                <w:numId w:val="35"/>
              </w:numPr>
              <w:spacing w:before="240" w:after="240" w:line="360" w:lineRule="auto"/>
              <w:ind w:left="1367" w:hanging="284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Taux d’intérêt 10%</w:t>
            </w:r>
            <w: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427BFE" w:rsidRPr="001D0A07" w:rsidRDefault="00427BFE" w:rsidP="00427BFE">
            <w:pPr>
              <w:tabs>
                <w:tab w:val="left" w:pos="284"/>
              </w:tabs>
              <w:spacing w:before="120" w:after="120" w:line="360" w:lineRule="auto"/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D0A07">
              <w:rPr>
                <w:rFonts w:asciiTheme="majorHAnsi" w:hAnsiTheme="majorHAnsi"/>
                <w:b/>
                <w:bCs/>
                <w:sz w:val="24"/>
                <w:szCs w:val="24"/>
              </w:rPr>
              <w:t>Travail à faire :</w:t>
            </w:r>
          </w:p>
          <w:p w:rsidR="00427BFE" w:rsidRDefault="00427BFE" w:rsidP="0039025C">
            <w:pPr>
              <w:spacing w:before="120" w:after="120"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Préparez une note </w:t>
            </w:r>
            <w:r w:rsidRPr="00C20B9C">
              <w:rPr>
                <w:rFonts w:asciiTheme="majorHAnsi" w:hAnsiTheme="majorHAnsi"/>
                <w:sz w:val="24"/>
                <w:szCs w:val="24"/>
              </w:rPr>
              <w:t>succincte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indiquant le régime fiscal des opérations réalisés par tous les intervenants dans le cadre </w:t>
            </w:r>
            <w:r w:rsidR="0039025C">
              <w:rPr>
                <w:rFonts w:asciiTheme="majorHAnsi" w:hAnsiTheme="majorHAnsi"/>
                <w:sz w:val="24"/>
                <w:szCs w:val="24"/>
              </w:rPr>
              <w:t>du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994331">
              <w:rPr>
                <w:rFonts w:asciiTheme="majorHAnsi" w:hAnsiTheme="majorHAnsi"/>
                <w:sz w:val="24"/>
                <w:szCs w:val="24"/>
              </w:rPr>
              <w:t>marché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conclue par la société </w:t>
            </w:r>
            <w:r w:rsidR="00B23EDB" w:rsidRPr="007A6344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«ABC»</w:t>
            </w:r>
            <w:r w:rsidR="00B23EDB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et de toutes les opérations accomplies par chacun des intervenants ?</w:t>
            </w:r>
          </w:p>
          <w:p w:rsidR="00095611" w:rsidRPr="00095611" w:rsidRDefault="00B23E94" w:rsidP="00C634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DOSSIER 2</w:t>
            </w:r>
            <w:r w:rsidR="00095611" w:rsidRPr="000956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: (</w:t>
            </w:r>
            <w:r w:rsidR="00354AC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8</w:t>
            </w:r>
            <w:r w:rsidR="00095611" w:rsidRPr="000956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points)</w:t>
            </w:r>
          </w:p>
        </w:tc>
      </w:tr>
      <w:tr w:rsidR="00095611" w:rsidRPr="00095611" w:rsidTr="00202494">
        <w:trPr>
          <w:trHeight w:val="19"/>
        </w:trPr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611" w:rsidRPr="00095611" w:rsidRDefault="00095611" w:rsidP="00095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5611">
              <w:rPr>
                <w:rFonts w:ascii="Calibri" w:eastAsia="Times New Roman" w:hAnsi="Calibri" w:cs="Times New Roman"/>
                <w:color w:val="000000"/>
                <w:lang w:eastAsia="fr-FR"/>
              </w:rPr>
              <w:lastRenderedPageBreak/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611" w:rsidRPr="00095611" w:rsidRDefault="00095611" w:rsidP="00095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561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611" w:rsidRPr="00095611" w:rsidRDefault="00095611" w:rsidP="00095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561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611" w:rsidRPr="00095611" w:rsidRDefault="00095611" w:rsidP="00095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561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611" w:rsidRPr="00095611" w:rsidRDefault="00095611" w:rsidP="00095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561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611" w:rsidRPr="00095611" w:rsidRDefault="00095611" w:rsidP="00095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561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611" w:rsidRPr="00095611" w:rsidRDefault="00095611" w:rsidP="00095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561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074BA6" w:rsidRDefault="00074BA6" w:rsidP="00074BA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7A4A2A" w:rsidRDefault="00B3186B" w:rsidP="0039025C">
      <w:pPr>
        <w:spacing w:before="240" w:after="24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La société anonyme </w:t>
      </w:r>
      <w:r w:rsidRPr="005464AE">
        <w:rPr>
          <w:rFonts w:asciiTheme="majorHAnsi" w:hAnsiTheme="majorHAnsi"/>
          <w:b/>
          <w:bCs/>
          <w:i/>
          <w:iCs/>
          <w:sz w:val="24"/>
          <w:szCs w:val="24"/>
        </w:rPr>
        <w:t>«</w:t>
      </w:r>
      <w:r w:rsidR="00202494">
        <w:rPr>
          <w:rFonts w:asciiTheme="majorHAnsi" w:hAnsiTheme="majorHAnsi"/>
          <w:b/>
          <w:bCs/>
          <w:i/>
          <w:iCs/>
          <w:sz w:val="24"/>
          <w:szCs w:val="24"/>
        </w:rPr>
        <w:t xml:space="preserve">Bara </w:t>
      </w:r>
      <w:r w:rsidR="00E353DD">
        <w:rPr>
          <w:rFonts w:asciiTheme="majorHAnsi" w:hAnsiTheme="majorHAnsi"/>
          <w:b/>
          <w:bCs/>
          <w:i/>
          <w:iCs/>
          <w:sz w:val="24"/>
          <w:szCs w:val="24"/>
        </w:rPr>
        <w:t>TV</w:t>
      </w:r>
      <w:r w:rsidRPr="005464AE">
        <w:rPr>
          <w:rFonts w:asciiTheme="majorHAnsi" w:hAnsiTheme="majorHAnsi"/>
          <w:b/>
          <w:bCs/>
          <w:i/>
          <w:iCs/>
          <w:sz w:val="24"/>
          <w:szCs w:val="24"/>
        </w:rPr>
        <w:t>»</w:t>
      </w:r>
      <w:r>
        <w:rPr>
          <w:rFonts w:asciiTheme="majorHAnsi" w:hAnsiTheme="majorHAnsi"/>
          <w:sz w:val="24"/>
          <w:szCs w:val="24"/>
        </w:rPr>
        <w:t xml:space="preserve"> </w:t>
      </w:r>
      <w:r w:rsidR="00E3711E" w:rsidRPr="00E3711E">
        <w:rPr>
          <w:rFonts w:asciiTheme="majorHAnsi" w:hAnsiTheme="majorHAnsi"/>
          <w:sz w:val="24"/>
          <w:szCs w:val="24"/>
        </w:rPr>
        <w:t>créée en 20</w:t>
      </w:r>
      <w:r w:rsidR="007A4A2A">
        <w:rPr>
          <w:rFonts w:asciiTheme="majorHAnsi" w:hAnsiTheme="majorHAnsi"/>
          <w:sz w:val="24"/>
          <w:szCs w:val="24"/>
        </w:rPr>
        <w:t>09</w:t>
      </w:r>
      <w:r w:rsidR="00E3711E" w:rsidRPr="00E3711E">
        <w:rPr>
          <w:rFonts w:asciiTheme="majorHAnsi" w:hAnsiTheme="majorHAnsi"/>
          <w:sz w:val="24"/>
          <w:szCs w:val="24"/>
        </w:rPr>
        <w:t xml:space="preserve"> avec un capital initial de 2.000.000 </w:t>
      </w:r>
      <w:r w:rsidR="00E3711E">
        <w:rPr>
          <w:rFonts w:asciiTheme="majorHAnsi" w:hAnsiTheme="majorHAnsi"/>
          <w:sz w:val="24"/>
          <w:szCs w:val="24"/>
        </w:rPr>
        <w:t>TND</w:t>
      </w:r>
      <w:r w:rsidR="00E3711E" w:rsidRPr="00E3711E">
        <w:rPr>
          <w:rFonts w:asciiTheme="majorHAnsi" w:hAnsiTheme="majorHAnsi"/>
          <w:sz w:val="24"/>
          <w:szCs w:val="24"/>
        </w:rPr>
        <w:t xml:space="preserve"> divisé en 200.000 actions de 10 </w:t>
      </w:r>
      <w:r w:rsidR="00E3711E">
        <w:rPr>
          <w:rFonts w:asciiTheme="majorHAnsi" w:hAnsiTheme="majorHAnsi"/>
          <w:sz w:val="24"/>
          <w:szCs w:val="24"/>
        </w:rPr>
        <w:t>TND</w:t>
      </w:r>
      <w:r w:rsidR="00E3711E" w:rsidRPr="00E3711E">
        <w:rPr>
          <w:rFonts w:asciiTheme="majorHAnsi" w:hAnsiTheme="majorHAnsi"/>
          <w:sz w:val="24"/>
          <w:szCs w:val="24"/>
        </w:rPr>
        <w:t xml:space="preserve"> chacune</w:t>
      </w:r>
      <w:r w:rsidR="000113B3">
        <w:rPr>
          <w:rFonts w:asciiTheme="majorHAnsi" w:hAnsiTheme="majorHAnsi"/>
          <w:sz w:val="24"/>
          <w:szCs w:val="24"/>
        </w:rPr>
        <w:t>,</w:t>
      </w:r>
      <w:r w:rsidR="00E3711E" w:rsidRPr="00E3711E">
        <w:rPr>
          <w:rFonts w:asciiTheme="majorHAnsi" w:hAnsiTheme="majorHAnsi"/>
          <w:sz w:val="24"/>
          <w:szCs w:val="24"/>
        </w:rPr>
        <w:t xml:space="preserve"> </w:t>
      </w:r>
      <w:r w:rsidR="000113B3">
        <w:rPr>
          <w:rFonts w:asciiTheme="majorHAnsi" w:hAnsiTheme="majorHAnsi"/>
          <w:sz w:val="24"/>
          <w:szCs w:val="24"/>
        </w:rPr>
        <w:t>s</w:t>
      </w:r>
      <w:r w:rsidR="00E3711E" w:rsidRPr="00E3711E">
        <w:rPr>
          <w:rFonts w:asciiTheme="majorHAnsi" w:hAnsiTheme="majorHAnsi"/>
          <w:sz w:val="24"/>
          <w:szCs w:val="24"/>
        </w:rPr>
        <w:t xml:space="preserve">on siège social est situé à la zone industrielle </w:t>
      </w:r>
      <w:proofErr w:type="spellStart"/>
      <w:r w:rsidR="00E3711E" w:rsidRPr="00E3711E">
        <w:rPr>
          <w:rFonts w:asciiTheme="majorHAnsi" w:hAnsiTheme="majorHAnsi"/>
          <w:sz w:val="24"/>
          <w:szCs w:val="24"/>
        </w:rPr>
        <w:t>Charguia</w:t>
      </w:r>
      <w:proofErr w:type="spellEnd"/>
      <w:r w:rsidR="00E3711E" w:rsidRPr="00E3711E">
        <w:rPr>
          <w:rFonts w:asciiTheme="majorHAnsi" w:hAnsiTheme="majorHAnsi"/>
          <w:sz w:val="24"/>
          <w:szCs w:val="24"/>
        </w:rPr>
        <w:t>-Tunis</w:t>
      </w:r>
      <w:r w:rsidR="007A4A2A">
        <w:rPr>
          <w:rFonts w:asciiTheme="majorHAnsi" w:hAnsiTheme="majorHAnsi"/>
          <w:sz w:val="24"/>
          <w:szCs w:val="24"/>
        </w:rPr>
        <w:t>, son activité</w:t>
      </w:r>
      <w:r w:rsidR="001009DD">
        <w:rPr>
          <w:rFonts w:asciiTheme="majorHAnsi" w:hAnsiTheme="majorHAnsi"/>
          <w:sz w:val="24"/>
          <w:szCs w:val="24"/>
        </w:rPr>
        <w:t xml:space="preserve"> principale</w:t>
      </w:r>
      <w:r w:rsidR="0039025C">
        <w:rPr>
          <w:rFonts w:asciiTheme="majorHAnsi" w:hAnsiTheme="majorHAnsi"/>
          <w:sz w:val="24"/>
          <w:szCs w:val="24"/>
        </w:rPr>
        <w:t xml:space="preserve">, tel que prévue par les statuts, </w:t>
      </w:r>
      <w:r w:rsidR="007A4A2A">
        <w:rPr>
          <w:rFonts w:asciiTheme="majorHAnsi" w:hAnsiTheme="majorHAnsi"/>
          <w:sz w:val="24"/>
          <w:szCs w:val="24"/>
        </w:rPr>
        <w:t xml:space="preserve">est la production </w:t>
      </w:r>
      <w:r w:rsidR="0039025C">
        <w:rPr>
          <w:rFonts w:asciiTheme="majorHAnsi" w:hAnsiTheme="majorHAnsi"/>
          <w:sz w:val="24"/>
          <w:szCs w:val="24"/>
        </w:rPr>
        <w:t>des spots publicitaires</w:t>
      </w:r>
      <w:r w:rsidR="00E3711E" w:rsidRPr="00E3711E">
        <w:rPr>
          <w:rFonts w:asciiTheme="majorHAnsi" w:hAnsiTheme="majorHAnsi"/>
          <w:sz w:val="24"/>
          <w:szCs w:val="24"/>
        </w:rPr>
        <w:t>.</w:t>
      </w:r>
    </w:p>
    <w:p w:rsidR="00C93F0E" w:rsidRDefault="00E3711E" w:rsidP="001009DD">
      <w:pPr>
        <w:spacing w:before="240" w:after="240" w:line="360" w:lineRule="auto"/>
        <w:jc w:val="both"/>
        <w:rPr>
          <w:rFonts w:asciiTheme="majorHAnsi" w:hAnsiTheme="majorHAnsi"/>
          <w:sz w:val="24"/>
          <w:szCs w:val="24"/>
        </w:rPr>
      </w:pPr>
      <w:r w:rsidRPr="00E3711E">
        <w:rPr>
          <w:rFonts w:asciiTheme="majorHAnsi" w:hAnsiTheme="majorHAnsi"/>
          <w:sz w:val="24"/>
          <w:szCs w:val="24"/>
        </w:rPr>
        <w:t>Suite aux évènements qu’a connus la Tunisie au cours de l’année 2011</w:t>
      </w:r>
      <w:r>
        <w:rPr>
          <w:rFonts w:asciiTheme="majorHAnsi" w:hAnsiTheme="majorHAnsi"/>
          <w:sz w:val="24"/>
          <w:szCs w:val="24"/>
        </w:rPr>
        <w:t xml:space="preserve">, </w:t>
      </w:r>
      <w:r w:rsidR="001F0061">
        <w:rPr>
          <w:rFonts w:asciiTheme="majorHAnsi" w:hAnsiTheme="majorHAnsi"/>
          <w:sz w:val="24"/>
          <w:szCs w:val="24"/>
        </w:rPr>
        <w:t xml:space="preserve">et l’apparition de plusieurs chaines télévisées, </w:t>
      </w:r>
      <w:r w:rsidR="0039025C">
        <w:rPr>
          <w:rFonts w:asciiTheme="majorHAnsi" w:hAnsiTheme="majorHAnsi"/>
          <w:sz w:val="24"/>
          <w:szCs w:val="24"/>
        </w:rPr>
        <w:t xml:space="preserve">les dirigeants de la société ont </w:t>
      </w:r>
      <w:r w:rsidR="0079184A">
        <w:rPr>
          <w:rFonts w:asciiTheme="majorHAnsi" w:hAnsiTheme="majorHAnsi"/>
          <w:sz w:val="24"/>
          <w:szCs w:val="24"/>
        </w:rPr>
        <w:t>décidé de faire</w:t>
      </w:r>
      <w:r w:rsidR="00E353DD">
        <w:rPr>
          <w:rFonts w:asciiTheme="majorHAnsi" w:hAnsiTheme="majorHAnsi"/>
          <w:sz w:val="24"/>
          <w:szCs w:val="24"/>
        </w:rPr>
        <w:t xml:space="preserve"> </w:t>
      </w:r>
      <w:r w:rsidR="001009DD">
        <w:rPr>
          <w:rFonts w:asciiTheme="majorHAnsi" w:hAnsiTheme="majorHAnsi"/>
          <w:sz w:val="24"/>
          <w:szCs w:val="24"/>
        </w:rPr>
        <w:t xml:space="preserve">une diversification liée </w:t>
      </w:r>
      <w:r w:rsidR="00E353DD">
        <w:rPr>
          <w:rFonts w:asciiTheme="majorHAnsi" w:hAnsiTheme="majorHAnsi"/>
          <w:sz w:val="24"/>
          <w:szCs w:val="24"/>
        </w:rPr>
        <w:t>pour couvrir</w:t>
      </w:r>
      <w:r>
        <w:rPr>
          <w:rFonts w:asciiTheme="majorHAnsi" w:hAnsiTheme="majorHAnsi"/>
          <w:sz w:val="24"/>
          <w:szCs w:val="24"/>
        </w:rPr>
        <w:t xml:space="preserve"> </w:t>
      </w:r>
      <w:r w:rsidR="00E353DD">
        <w:rPr>
          <w:rFonts w:asciiTheme="majorHAnsi" w:hAnsiTheme="majorHAnsi"/>
          <w:sz w:val="24"/>
          <w:szCs w:val="24"/>
        </w:rPr>
        <w:t>l’</w:t>
      </w:r>
      <w:r>
        <w:rPr>
          <w:rFonts w:asciiTheme="majorHAnsi" w:hAnsiTheme="majorHAnsi"/>
          <w:sz w:val="24"/>
          <w:szCs w:val="24"/>
        </w:rPr>
        <w:t>activité audio-visuelle</w:t>
      </w:r>
      <w:r w:rsidR="00E353DD">
        <w:rPr>
          <w:rFonts w:asciiTheme="majorHAnsi" w:hAnsiTheme="majorHAnsi"/>
          <w:sz w:val="24"/>
          <w:szCs w:val="24"/>
        </w:rPr>
        <w:t>,</w:t>
      </w:r>
      <w:r w:rsidR="00C93F0E">
        <w:rPr>
          <w:rFonts w:asciiTheme="majorHAnsi" w:hAnsiTheme="majorHAnsi"/>
          <w:sz w:val="24"/>
          <w:szCs w:val="24"/>
        </w:rPr>
        <w:t xml:space="preserve"> un domaine qui est caractérisé par des facteurs clés de succès spécifiques.</w:t>
      </w:r>
    </w:p>
    <w:p w:rsidR="00E353DD" w:rsidRDefault="00E353DD" w:rsidP="00E353DD">
      <w:pPr>
        <w:spacing w:before="240" w:after="24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Pour le faire elle a réalisée </w:t>
      </w:r>
      <w:r w:rsidR="001F0061">
        <w:rPr>
          <w:rFonts w:asciiTheme="majorHAnsi" w:hAnsiTheme="majorHAnsi"/>
          <w:sz w:val="24"/>
          <w:szCs w:val="24"/>
        </w:rPr>
        <w:t>les opérations suivantes</w:t>
      </w:r>
      <w:r>
        <w:rPr>
          <w:rFonts w:asciiTheme="majorHAnsi" w:hAnsiTheme="majorHAnsi"/>
          <w:sz w:val="24"/>
          <w:szCs w:val="24"/>
        </w:rPr>
        <w:t> :</w:t>
      </w:r>
    </w:p>
    <w:p w:rsidR="0069119D" w:rsidRPr="00706E40" w:rsidRDefault="007F719F" w:rsidP="007E639A">
      <w:pPr>
        <w:pStyle w:val="Paragraphedeliste"/>
        <w:numPr>
          <w:ilvl w:val="0"/>
          <w:numId w:val="34"/>
        </w:numPr>
        <w:spacing w:before="240" w:after="240" w:line="360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En janvier 2012, e</w:t>
      </w:r>
      <w:r w:rsidR="00706E40">
        <w:rPr>
          <w:rFonts w:asciiTheme="majorHAnsi" w:hAnsiTheme="majorHAnsi"/>
          <w:sz w:val="24"/>
          <w:szCs w:val="24"/>
        </w:rPr>
        <w:t>lle a fait</w:t>
      </w:r>
      <w:r w:rsidR="001F0061" w:rsidRPr="00706E40">
        <w:rPr>
          <w:rFonts w:asciiTheme="majorHAnsi" w:hAnsiTheme="majorHAnsi"/>
          <w:sz w:val="24"/>
          <w:szCs w:val="24"/>
        </w:rPr>
        <w:t xml:space="preserve"> appel </w:t>
      </w:r>
      <w:r w:rsidR="00706E40" w:rsidRPr="00706E40">
        <w:rPr>
          <w:rFonts w:asciiTheme="majorHAnsi" w:hAnsiTheme="majorHAnsi"/>
          <w:sz w:val="24"/>
          <w:szCs w:val="24"/>
        </w:rPr>
        <w:t>à</w:t>
      </w:r>
      <w:r w:rsidR="001F0061" w:rsidRPr="00706E40">
        <w:rPr>
          <w:rFonts w:asciiTheme="majorHAnsi" w:hAnsiTheme="majorHAnsi"/>
          <w:sz w:val="24"/>
          <w:szCs w:val="24"/>
        </w:rPr>
        <w:t xml:space="preserve"> une société </w:t>
      </w:r>
      <w:r w:rsidR="001F0061" w:rsidRPr="00706E40">
        <w:rPr>
          <w:rFonts w:asciiTheme="majorHAnsi" w:hAnsiTheme="majorHAnsi"/>
          <w:b/>
          <w:bCs/>
          <w:i/>
          <w:iCs/>
          <w:sz w:val="24"/>
          <w:szCs w:val="24"/>
        </w:rPr>
        <w:t>«SEGNA»</w:t>
      </w:r>
      <w:r w:rsidR="001F0061" w:rsidRPr="00706E40">
        <w:rPr>
          <w:rFonts w:asciiTheme="majorHAnsi" w:hAnsiTheme="majorHAnsi"/>
          <w:sz w:val="24"/>
          <w:szCs w:val="24"/>
        </w:rPr>
        <w:t xml:space="preserve"> résidente </w:t>
      </w:r>
      <w:r w:rsidR="00EC6CE9">
        <w:rPr>
          <w:rFonts w:asciiTheme="majorHAnsi" w:hAnsiTheme="majorHAnsi"/>
          <w:sz w:val="24"/>
          <w:szCs w:val="24"/>
        </w:rPr>
        <w:t>en</w:t>
      </w:r>
      <w:r w:rsidR="0069119D" w:rsidRPr="00706E40">
        <w:rPr>
          <w:rFonts w:asciiTheme="majorHAnsi" w:hAnsiTheme="majorHAnsi"/>
          <w:sz w:val="24"/>
          <w:szCs w:val="24"/>
        </w:rPr>
        <w:t xml:space="preserve"> </w:t>
      </w:r>
      <w:r w:rsidR="00706E40">
        <w:rPr>
          <w:rFonts w:asciiTheme="majorHAnsi" w:hAnsiTheme="majorHAnsi"/>
          <w:sz w:val="24"/>
          <w:szCs w:val="24"/>
        </w:rPr>
        <w:t>Turquie</w:t>
      </w:r>
      <w:r w:rsidR="001F0061" w:rsidRPr="00706E40">
        <w:rPr>
          <w:rFonts w:asciiTheme="majorHAnsi" w:hAnsiTheme="majorHAnsi"/>
          <w:sz w:val="24"/>
          <w:szCs w:val="24"/>
        </w:rPr>
        <w:t xml:space="preserve"> afin de réaliser un sondage d’opinion portant sur le comportement des </w:t>
      </w:r>
      <w:r w:rsidR="0069119D" w:rsidRPr="00706E40">
        <w:rPr>
          <w:rFonts w:asciiTheme="majorHAnsi" w:hAnsiTheme="majorHAnsi"/>
          <w:sz w:val="24"/>
          <w:szCs w:val="24"/>
        </w:rPr>
        <w:t>Tunisien</w:t>
      </w:r>
      <w:r w:rsidR="00C63456">
        <w:rPr>
          <w:rFonts w:asciiTheme="majorHAnsi" w:hAnsiTheme="majorHAnsi"/>
          <w:sz w:val="24"/>
          <w:szCs w:val="24"/>
        </w:rPr>
        <w:t>s</w:t>
      </w:r>
      <w:r w:rsidR="0069119D" w:rsidRPr="00706E40">
        <w:rPr>
          <w:rFonts w:asciiTheme="majorHAnsi" w:hAnsiTheme="majorHAnsi"/>
          <w:sz w:val="24"/>
          <w:szCs w:val="24"/>
        </w:rPr>
        <w:t xml:space="preserve"> vis </w:t>
      </w:r>
      <w:r w:rsidR="00AB7EF9" w:rsidRPr="00706E40">
        <w:rPr>
          <w:rFonts w:asciiTheme="majorHAnsi" w:hAnsiTheme="majorHAnsi"/>
          <w:sz w:val="24"/>
          <w:szCs w:val="24"/>
        </w:rPr>
        <w:t>à</w:t>
      </w:r>
      <w:r w:rsidR="0069119D" w:rsidRPr="00706E40">
        <w:rPr>
          <w:rFonts w:asciiTheme="majorHAnsi" w:hAnsiTheme="majorHAnsi"/>
          <w:sz w:val="24"/>
          <w:szCs w:val="24"/>
        </w:rPr>
        <w:t xml:space="preserve"> vis </w:t>
      </w:r>
      <w:r w:rsidR="007E639A" w:rsidRPr="00706E40">
        <w:rPr>
          <w:rFonts w:asciiTheme="majorHAnsi" w:hAnsiTheme="majorHAnsi"/>
          <w:sz w:val="24"/>
          <w:szCs w:val="24"/>
        </w:rPr>
        <w:t xml:space="preserve">les </w:t>
      </w:r>
      <w:r w:rsidR="007E639A">
        <w:rPr>
          <w:rFonts w:asciiTheme="majorHAnsi" w:hAnsiTheme="majorHAnsi"/>
          <w:sz w:val="24"/>
          <w:szCs w:val="24"/>
        </w:rPr>
        <w:t xml:space="preserve">programmes diffusés sur les </w:t>
      </w:r>
      <w:r w:rsidR="0069119D" w:rsidRPr="00706E40">
        <w:rPr>
          <w:rFonts w:asciiTheme="majorHAnsi" w:hAnsiTheme="majorHAnsi"/>
          <w:sz w:val="24"/>
          <w:szCs w:val="24"/>
        </w:rPr>
        <w:t>chaines télévisées Tunisienne</w:t>
      </w:r>
      <w:r w:rsidR="00C63456">
        <w:rPr>
          <w:rFonts w:asciiTheme="majorHAnsi" w:hAnsiTheme="majorHAnsi"/>
          <w:sz w:val="24"/>
          <w:szCs w:val="24"/>
        </w:rPr>
        <w:t>s</w:t>
      </w:r>
      <w:r w:rsidR="0069119D" w:rsidRPr="00706E40">
        <w:rPr>
          <w:rFonts w:asciiTheme="majorHAnsi" w:hAnsiTheme="majorHAnsi"/>
          <w:sz w:val="24"/>
          <w:szCs w:val="24"/>
        </w:rPr>
        <w:t xml:space="preserve">. Apres 3 mois de travail, la société </w:t>
      </w:r>
      <w:r w:rsidR="0069119D" w:rsidRPr="00706E40">
        <w:rPr>
          <w:rFonts w:asciiTheme="majorHAnsi" w:hAnsiTheme="majorHAnsi"/>
          <w:b/>
          <w:bCs/>
          <w:i/>
          <w:iCs/>
          <w:sz w:val="24"/>
          <w:szCs w:val="24"/>
        </w:rPr>
        <w:t xml:space="preserve">«SEGNA» </w:t>
      </w:r>
      <w:r w:rsidR="0069119D" w:rsidRPr="00706E40">
        <w:rPr>
          <w:rFonts w:asciiTheme="majorHAnsi" w:hAnsiTheme="majorHAnsi"/>
          <w:sz w:val="24"/>
          <w:szCs w:val="24"/>
        </w:rPr>
        <w:t>arrive aux conclusions suivantes :</w:t>
      </w:r>
    </w:p>
    <w:p w:rsidR="0013472C" w:rsidRPr="00AB7EF9" w:rsidRDefault="0013472C" w:rsidP="00AB7EF9">
      <w:pPr>
        <w:pStyle w:val="Paragraphedeliste"/>
        <w:numPr>
          <w:ilvl w:val="0"/>
          <w:numId w:val="33"/>
        </w:numPr>
        <w:spacing w:before="240" w:after="240" w:line="360" w:lineRule="auto"/>
        <w:jc w:val="both"/>
        <w:rPr>
          <w:rFonts w:asciiTheme="majorHAnsi" w:hAnsiTheme="majorHAnsi"/>
          <w:sz w:val="24"/>
          <w:szCs w:val="24"/>
        </w:rPr>
      </w:pPr>
      <w:r w:rsidRPr="00AB7EF9">
        <w:rPr>
          <w:rFonts w:asciiTheme="majorHAnsi" w:hAnsiTheme="majorHAnsi"/>
          <w:sz w:val="24"/>
          <w:szCs w:val="24"/>
        </w:rPr>
        <w:t>Le domaine audio</w:t>
      </w:r>
      <w:r w:rsidR="001009DD">
        <w:rPr>
          <w:rFonts w:asciiTheme="majorHAnsi" w:hAnsiTheme="majorHAnsi"/>
          <w:sz w:val="24"/>
          <w:szCs w:val="24"/>
        </w:rPr>
        <w:t>-</w:t>
      </w:r>
      <w:r w:rsidRPr="00AB7EF9">
        <w:rPr>
          <w:rFonts w:asciiTheme="majorHAnsi" w:hAnsiTheme="majorHAnsi"/>
          <w:sz w:val="24"/>
          <w:szCs w:val="24"/>
        </w:rPr>
        <w:t>visuel repose sur des compétences particulières et semble caractérisé par une faible sensibilité aux économies d’échelle</w:t>
      </w:r>
      <w:r w:rsidR="00AB7EF9" w:rsidRPr="00AB7EF9">
        <w:rPr>
          <w:rFonts w:asciiTheme="majorHAnsi" w:hAnsiTheme="majorHAnsi"/>
          <w:sz w:val="24"/>
          <w:szCs w:val="24"/>
        </w:rPr>
        <w:t>.</w:t>
      </w:r>
    </w:p>
    <w:p w:rsidR="0013472C" w:rsidRPr="00AB7EF9" w:rsidRDefault="0013472C" w:rsidP="001009DD">
      <w:pPr>
        <w:pStyle w:val="Paragraphedeliste"/>
        <w:numPr>
          <w:ilvl w:val="0"/>
          <w:numId w:val="33"/>
        </w:numPr>
        <w:spacing w:before="240" w:after="240" w:line="360" w:lineRule="auto"/>
        <w:jc w:val="both"/>
        <w:rPr>
          <w:rFonts w:asciiTheme="majorHAnsi" w:hAnsiTheme="majorHAnsi"/>
          <w:sz w:val="24"/>
          <w:szCs w:val="24"/>
        </w:rPr>
      </w:pPr>
      <w:r w:rsidRPr="00AB7EF9">
        <w:rPr>
          <w:rFonts w:asciiTheme="majorHAnsi" w:hAnsiTheme="majorHAnsi"/>
          <w:sz w:val="24"/>
          <w:szCs w:val="24"/>
        </w:rPr>
        <w:t xml:space="preserve">L’activité est marquée par la présence d’un nombre </w:t>
      </w:r>
      <w:r w:rsidRPr="009D5677">
        <w:rPr>
          <w:rFonts w:asciiTheme="majorHAnsi" w:hAnsiTheme="majorHAnsi"/>
          <w:b/>
          <w:bCs/>
          <w:i/>
          <w:iCs/>
          <w:sz w:val="24"/>
          <w:szCs w:val="24"/>
        </w:rPr>
        <w:t>«petit»</w:t>
      </w:r>
      <w:r w:rsidRPr="00AB7EF9">
        <w:rPr>
          <w:rFonts w:asciiTheme="majorHAnsi" w:hAnsiTheme="majorHAnsi"/>
          <w:sz w:val="24"/>
          <w:szCs w:val="24"/>
        </w:rPr>
        <w:t xml:space="preserve"> de </w:t>
      </w:r>
      <w:r w:rsidR="001009DD">
        <w:rPr>
          <w:rFonts w:asciiTheme="majorHAnsi" w:hAnsiTheme="majorHAnsi"/>
          <w:sz w:val="24"/>
          <w:szCs w:val="24"/>
        </w:rPr>
        <w:t>concurrents</w:t>
      </w:r>
      <w:r w:rsidRPr="00AB7EF9">
        <w:rPr>
          <w:rFonts w:asciiTheme="majorHAnsi" w:hAnsiTheme="majorHAnsi"/>
          <w:sz w:val="24"/>
          <w:szCs w:val="24"/>
        </w:rPr>
        <w:t>, qui  réussissent à s’établir rapidement.</w:t>
      </w:r>
    </w:p>
    <w:p w:rsidR="00AB7EF9" w:rsidRDefault="00AB7EF9" w:rsidP="00552B66">
      <w:pPr>
        <w:pStyle w:val="Paragraphedeliste"/>
        <w:numPr>
          <w:ilvl w:val="0"/>
          <w:numId w:val="33"/>
        </w:numPr>
        <w:spacing w:before="240" w:after="240" w:line="360" w:lineRule="auto"/>
        <w:jc w:val="both"/>
        <w:rPr>
          <w:rFonts w:asciiTheme="majorHAnsi" w:hAnsiTheme="majorHAnsi"/>
          <w:sz w:val="24"/>
          <w:szCs w:val="24"/>
        </w:rPr>
      </w:pPr>
      <w:r w:rsidRPr="00AB7EF9">
        <w:rPr>
          <w:rFonts w:asciiTheme="majorHAnsi" w:hAnsiTheme="majorHAnsi"/>
          <w:sz w:val="24"/>
          <w:szCs w:val="24"/>
        </w:rPr>
        <w:t xml:space="preserve">Les </w:t>
      </w:r>
      <w:r w:rsidR="00706E40">
        <w:rPr>
          <w:rFonts w:asciiTheme="majorHAnsi" w:hAnsiTheme="majorHAnsi"/>
          <w:sz w:val="24"/>
          <w:szCs w:val="24"/>
        </w:rPr>
        <w:t>séries</w:t>
      </w:r>
      <w:r w:rsidRPr="00AB7EF9">
        <w:rPr>
          <w:rFonts w:asciiTheme="majorHAnsi" w:hAnsiTheme="majorHAnsi"/>
          <w:sz w:val="24"/>
          <w:szCs w:val="24"/>
        </w:rPr>
        <w:t xml:space="preserve"> d’animation, jeux et les feuilletons </w:t>
      </w:r>
      <w:r w:rsidR="00706E40">
        <w:rPr>
          <w:rFonts w:asciiTheme="majorHAnsi" w:hAnsiTheme="majorHAnsi"/>
          <w:sz w:val="24"/>
          <w:szCs w:val="24"/>
        </w:rPr>
        <w:t xml:space="preserve">sont </w:t>
      </w:r>
      <w:r w:rsidR="00552B66">
        <w:rPr>
          <w:rFonts w:asciiTheme="majorHAnsi" w:hAnsiTheme="majorHAnsi"/>
          <w:sz w:val="24"/>
          <w:szCs w:val="24"/>
        </w:rPr>
        <w:t>les programmes</w:t>
      </w:r>
      <w:r w:rsidR="00706E40">
        <w:rPr>
          <w:rFonts w:asciiTheme="majorHAnsi" w:hAnsiTheme="majorHAnsi"/>
          <w:sz w:val="24"/>
          <w:szCs w:val="24"/>
        </w:rPr>
        <w:t xml:space="preserve"> sur </w:t>
      </w:r>
      <w:r w:rsidR="00552B66">
        <w:rPr>
          <w:rFonts w:asciiTheme="majorHAnsi" w:hAnsiTheme="majorHAnsi"/>
          <w:sz w:val="24"/>
          <w:szCs w:val="24"/>
        </w:rPr>
        <w:t>lesquels</w:t>
      </w:r>
      <w:r w:rsidR="00706E40">
        <w:rPr>
          <w:rFonts w:asciiTheme="majorHAnsi" w:hAnsiTheme="majorHAnsi"/>
          <w:sz w:val="24"/>
          <w:szCs w:val="24"/>
        </w:rPr>
        <w:t xml:space="preserve"> </w:t>
      </w:r>
      <w:r w:rsidR="00552B66">
        <w:rPr>
          <w:rFonts w:asciiTheme="majorHAnsi" w:hAnsiTheme="majorHAnsi"/>
          <w:sz w:val="24"/>
          <w:szCs w:val="24"/>
        </w:rPr>
        <w:t>sont</w:t>
      </w:r>
      <w:r w:rsidR="00706E40">
        <w:rPr>
          <w:rFonts w:asciiTheme="majorHAnsi" w:hAnsiTheme="majorHAnsi"/>
          <w:sz w:val="24"/>
          <w:szCs w:val="24"/>
        </w:rPr>
        <w:t xml:space="preserve"> </w:t>
      </w:r>
      <w:r w:rsidR="00552B66">
        <w:rPr>
          <w:rFonts w:asciiTheme="majorHAnsi" w:hAnsiTheme="majorHAnsi"/>
          <w:sz w:val="24"/>
          <w:szCs w:val="24"/>
        </w:rPr>
        <w:t>adossées</w:t>
      </w:r>
      <w:r w:rsidRPr="00AB7EF9">
        <w:rPr>
          <w:rFonts w:asciiTheme="majorHAnsi" w:hAnsiTheme="majorHAnsi"/>
          <w:sz w:val="24"/>
          <w:szCs w:val="24"/>
        </w:rPr>
        <w:t xml:space="preserve"> </w:t>
      </w:r>
      <w:r w:rsidR="00706E40">
        <w:rPr>
          <w:rFonts w:asciiTheme="majorHAnsi" w:hAnsiTheme="majorHAnsi"/>
          <w:sz w:val="24"/>
          <w:szCs w:val="24"/>
        </w:rPr>
        <w:t>la</w:t>
      </w:r>
      <w:r w:rsidRPr="00AB7EF9">
        <w:rPr>
          <w:rFonts w:asciiTheme="majorHAnsi" w:hAnsiTheme="majorHAnsi"/>
          <w:sz w:val="24"/>
          <w:szCs w:val="24"/>
        </w:rPr>
        <w:t xml:space="preserve"> publicité</w:t>
      </w:r>
      <w:r w:rsidR="00706E40">
        <w:rPr>
          <w:rFonts w:asciiTheme="majorHAnsi" w:hAnsiTheme="majorHAnsi"/>
          <w:sz w:val="24"/>
          <w:szCs w:val="24"/>
        </w:rPr>
        <w:t>,</w:t>
      </w:r>
      <w:r w:rsidRPr="00AB7EF9">
        <w:rPr>
          <w:rFonts w:asciiTheme="majorHAnsi" w:hAnsiTheme="majorHAnsi"/>
          <w:sz w:val="24"/>
          <w:szCs w:val="24"/>
        </w:rPr>
        <w:t xml:space="preserve"> </w:t>
      </w:r>
      <w:r w:rsidR="00552B66" w:rsidRPr="00AB7EF9">
        <w:rPr>
          <w:rFonts w:asciiTheme="majorHAnsi" w:hAnsiTheme="majorHAnsi"/>
          <w:sz w:val="24"/>
          <w:szCs w:val="24"/>
        </w:rPr>
        <w:t>jugée</w:t>
      </w:r>
      <w:r w:rsidR="00552B66">
        <w:rPr>
          <w:rFonts w:asciiTheme="majorHAnsi" w:hAnsiTheme="majorHAnsi"/>
          <w:sz w:val="24"/>
          <w:szCs w:val="24"/>
        </w:rPr>
        <w:t>, avec les SMS,</w:t>
      </w:r>
      <w:r w:rsidRPr="00AB7EF9">
        <w:rPr>
          <w:rFonts w:asciiTheme="majorHAnsi" w:hAnsiTheme="majorHAnsi"/>
          <w:sz w:val="24"/>
          <w:szCs w:val="24"/>
        </w:rPr>
        <w:t xml:space="preserve"> le</w:t>
      </w:r>
      <w:r w:rsidR="00552B66">
        <w:rPr>
          <w:rFonts w:asciiTheme="majorHAnsi" w:hAnsiTheme="majorHAnsi"/>
          <w:sz w:val="24"/>
          <w:szCs w:val="24"/>
        </w:rPr>
        <w:t>s</w:t>
      </w:r>
      <w:r w:rsidRPr="00AB7EF9">
        <w:rPr>
          <w:rFonts w:asciiTheme="majorHAnsi" w:hAnsiTheme="majorHAnsi"/>
          <w:sz w:val="24"/>
          <w:szCs w:val="24"/>
        </w:rPr>
        <w:t xml:space="preserve"> revenu</w:t>
      </w:r>
      <w:r w:rsidR="00552B66">
        <w:rPr>
          <w:rFonts w:asciiTheme="majorHAnsi" w:hAnsiTheme="majorHAnsi"/>
          <w:sz w:val="24"/>
          <w:szCs w:val="24"/>
        </w:rPr>
        <w:t>s</w:t>
      </w:r>
      <w:r w:rsidRPr="00AB7EF9">
        <w:rPr>
          <w:rFonts w:asciiTheme="majorHAnsi" w:hAnsiTheme="majorHAnsi"/>
          <w:sz w:val="24"/>
          <w:szCs w:val="24"/>
        </w:rPr>
        <w:t xml:space="preserve"> </w:t>
      </w:r>
      <w:r w:rsidR="00552B66" w:rsidRPr="00AB7EF9">
        <w:rPr>
          <w:rFonts w:asciiTheme="majorHAnsi" w:hAnsiTheme="majorHAnsi"/>
          <w:sz w:val="24"/>
          <w:szCs w:val="24"/>
        </w:rPr>
        <w:t>princip</w:t>
      </w:r>
      <w:r w:rsidR="00552B66">
        <w:rPr>
          <w:rFonts w:asciiTheme="majorHAnsi" w:hAnsiTheme="majorHAnsi"/>
          <w:sz w:val="24"/>
          <w:szCs w:val="24"/>
        </w:rPr>
        <w:t>aux</w:t>
      </w:r>
      <w:r w:rsidRPr="00AB7EF9">
        <w:rPr>
          <w:rFonts w:asciiTheme="majorHAnsi" w:hAnsiTheme="majorHAnsi"/>
          <w:sz w:val="24"/>
          <w:szCs w:val="24"/>
        </w:rPr>
        <w:t xml:space="preserve"> de cette activité.  </w:t>
      </w:r>
    </w:p>
    <w:p w:rsidR="001009DD" w:rsidRPr="00AB7EF9" w:rsidRDefault="001009DD" w:rsidP="00552B66">
      <w:pPr>
        <w:pStyle w:val="Paragraphedeliste"/>
        <w:numPr>
          <w:ilvl w:val="0"/>
          <w:numId w:val="33"/>
        </w:numPr>
        <w:spacing w:before="240" w:after="24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La rivalité entre les concurrents constitue une menace externe.</w:t>
      </w:r>
    </w:p>
    <w:p w:rsidR="00AB7EF9" w:rsidRDefault="00706E40" w:rsidP="00FB3B48">
      <w:pPr>
        <w:spacing w:before="240" w:after="24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Convaincu du travail élaboré par la société </w:t>
      </w:r>
      <w:r w:rsidRPr="00706E40">
        <w:rPr>
          <w:rFonts w:asciiTheme="majorHAnsi" w:hAnsiTheme="majorHAnsi"/>
          <w:b/>
          <w:bCs/>
          <w:i/>
          <w:iCs/>
          <w:sz w:val="24"/>
          <w:szCs w:val="24"/>
        </w:rPr>
        <w:t>«SEGNA»</w:t>
      </w:r>
      <w:r>
        <w:rPr>
          <w:rFonts w:asciiTheme="majorHAnsi" w:hAnsiTheme="majorHAnsi"/>
          <w:sz w:val="24"/>
          <w:szCs w:val="24"/>
        </w:rPr>
        <w:t xml:space="preserve"> les dirigeants ont décidé de payer la facture dédiée à cet effet pour un montant</w:t>
      </w:r>
      <w:r w:rsidR="00D46EA4">
        <w:rPr>
          <w:rFonts w:asciiTheme="majorHAnsi" w:hAnsiTheme="majorHAnsi"/>
          <w:sz w:val="24"/>
          <w:szCs w:val="24"/>
        </w:rPr>
        <w:t xml:space="preserve"> total de</w:t>
      </w:r>
      <w:r>
        <w:rPr>
          <w:rFonts w:asciiTheme="majorHAnsi" w:hAnsiTheme="majorHAnsi"/>
          <w:sz w:val="24"/>
          <w:szCs w:val="24"/>
        </w:rPr>
        <w:t xml:space="preserve"> 118.000 TND.   </w:t>
      </w:r>
    </w:p>
    <w:p w:rsidR="0013472C" w:rsidRDefault="00706E40" w:rsidP="00D46EA4">
      <w:pPr>
        <w:pStyle w:val="Paragraphedeliste"/>
        <w:numPr>
          <w:ilvl w:val="0"/>
          <w:numId w:val="34"/>
        </w:numPr>
        <w:spacing w:before="240" w:after="240" w:line="360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Elle a fait appel à une société </w:t>
      </w:r>
      <w:r w:rsidRPr="008046B2">
        <w:rPr>
          <w:rFonts w:asciiTheme="majorHAnsi" w:hAnsiTheme="majorHAnsi"/>
          <w:b/>
          <w:bCs/>
          <w:i/>
          <w:iCs/>
          <w:sz w:val="24"/>
          <w:szCs w:val="24"/>
        </w:rPr>
        <w:t>«Oméga»</w:t>
      </w:r>
      <w:r w:rsidR="00EC6CE9" w:rsidRPr="00EC6CE9">
        <w:rPr>
          <w:rFonts w:asciiTheme="majorHAnsi" w:hAnsiTheme="majorHAnsi"/>
          <w:sz w:val="24"/>
          <w:szCs w:val="24"/>
        </w:rPr>
        <w:t>,</w:t>
      </w:r>
      <w:r w:rsidRPr="008046B2">
        <w:rPr>
          <w:rFonts w:asciiTheme="majorHAnsi" w:hAnsiTheme="majorHAnsi"/>
          <w:b/>
          <w:bCs/>
          <w:i/>
          <w:iCs/>
          <w:sz w:val="24"/>
          <w:szCs w:val="24"/>
        </w:rPr>
        <w:t xml:space="preserve"> </w:t>
      </w:r>
      <w:r w:rsidRPr="008046B2">
        <w:rPr>
          <w:rFonts w:asciiTheme="majorHAnsi" w:hAnsiTheme="majorHAnsi"/>
          <w:sz w:val="24"/>
          <w:szCs w:val="24"/>
        </w:rPr>
        <w:t>une centrale d’achat de programme</w:t>
      </w:r>
      <w:r w:rsidR="00FB3B48">
        <w:rPr>
          <w:rFonts w:asciiTheme="majorHAnsi" w:hAnsiTheme="majorHAnsi"/>
          <w:sz w:val="24"/>
          <w:szCs w:val="24"/>
        </w:rPr>
        <w:t>s</w:t>
      </w:r>
      <w:r w:rsidR="008046B2">
        <w:rPr>
          <w:rFonts w:asciiTheme="majorHAnsi" w:hAnsiTheme="majorHAnsi"/>
          <w:sz w:val="24"/>
          <w:szCs w:val="24"/>
        </w:rPr>
        <w:t xml:space="preserve"> télévisé</w:t>
      </w:r>
      <w:r w:rsidR="00FB3B48">
        <w:rPr>
          <w:rFonts w:asciiTheme="majorHAnsi" w:hAnsiTheme="majorHAnsi"/>
          <w:sz w:val="24"/>
          <w:szCs w:val="24"/>
        </w:rPr>
        <w:t>s</w:t>
      </w:r>
      <w:r w:rsidR="00EC6CE9">
        <w:rPr>
          <w:rFonts w:asciiTheme="majorHAnsi" w:hAnsiTheme="majorHAnsi"/>
          <w:sz w:val="24"/>
          <w:szCs w:val="24"/>
        </w:rPr>
        <w:t>,</w:t>
      </w:r>
      <w:r w:rsidRPr="00706E40">
        <w:rPr>
          <w:rFonts w:asciiTheme="majorHAnsi" w:hAnsiTheme="majorHAnsi"/>
          <w:sz w:val="24"/>
          <w:szCs w:val="24"/>
        </w:rPr>
        <w:t xml:space="preserve"> </w:t>
      </w:r>
      <w:r w:rsidR="00D46EA4">
        <w:rPr>
          <w:rFonts w:asciiTheme="majorHAnsi" w:hAnsiTheme="majorHAnsi"/>
          <w:sz w:val="24"/>
          <w:szCs w:val="24"/>
        </w:rPr>
        <w:t xml:space="preserve">qui est </w:t>
      </w:r>
      <w:r w:rsidRPr="00706E40">
        <w:rPr>
          <w:rFonts w:asciiTheme="majorHAnsi" w:hAnsiTheme="majorHAnsi"/>
          <w:sz w:val="24"/>
          <w:szCs w:val="24"/>
        </w:rPr>
        <w:t xml:space="preserve">résidente </w:t>
      </w:r>
      <w:r w:rsidR="00EC6CE9">
        <w:rPr>
          <w:rFonts w:asciiTheme="majorHAnsi" w:hAnsiTheme="majorHAnsi"/>
          <w:sz w:val="24"/>
          <w:szCs w:val="24"/>
        </w:rPr>
        <w:t>en</w:t>
      </w:r>
      <w:r w:rsidRPr="00706E40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Turquie</w:t>
      </w:r>
      <w:r w:rsidR="008046B2">
        <w:rPr>
          <w:rFonts w:asciiTheme="majorHAnsi" w:hAnsiTheme="majorHAnsi"/>
          <w:sz w:val="24"/>
          <w:szCs w:val="24"/>
        </w:rPr>
        <w:t xml:space="preserve">, l’offre </w:t>
      </w:r>
      <w:r w:rsidR="00D46EA4">
        <w:rPr>
          <w:rFonts w:asciiTheme="majorHAnsi" w:hAnsiTheme="majorHAnsi"/>
          <w:sz w:val="24"/>
          <w:szCs w:val="24"/>
        </w:rPr>
        <w:t>d</w:t>
      </w:r>
      <w:r w:rsidR="007F5090">
        <w:rPr>
          <w:rFonts w:asciiTheme="majorHAnsi" w:hAnsiTheme="majorHAnsi"/>
          <w:sz w:val="24"/>
          <w:szCs w:val="24"/>
        </w:rPr>
        <w:t>e programme</w:t>
      </w:r>
      <w:r w:rsidR="00EC6CE9">
        <w:rPr>
          <w:rFonts w:asciiTheme="majorHAnsi" w:hAnsiTheme="majorHAnsi"/>
          <w:sz w:val="24"/>
          <w:szCs w:val="24"/>
        </w:rPr>
        <w:t xml:space="preserve"> de l’année 2012 </w:t>
      </w:r>
      <w:r w:rsidR="008046B2">
        <w:rPr>
          <w:rFonts w:asciiTheme="majorHAnsi" w:hAnsiTheme="majorHAnsi"/>
          <w:sz w:val="24"/>
          <w:szCs w:val="24"/>
        </w:rPr>
        <w:t>se résume comme suit :</w:t>
      </w:r>
    </w:p>
    <w:tbl>
      <w:tblPr>
        <w:tblStyle w:val="Grilledutableau"/>
        <w:tblW w:w="0" w:type="auto"/>
        <w:tblInd w:w="392" w:type="dxa"/>
        <w:tblLook w:val="04A0"/>
      </w:tblPr>
      <w:tblGrid>
        <w:gridCol w:w="3070"/>
        <w:gridCol w:w="3071"/>
        <w:gridCol w:w="2614"/>
      </w:tblGrid>
      <w:tr w:rsidR="008046B2" w:rsidTr="001009DD">
        <w:trPr>
          <w:trHeight w:val="801"/>
        </w:trPr>
        <w:tc>
          <w:tcPr>
            <w:tcW w:w="3070" w:type="dxa"/>
          </w:tcPr>
          <w:p w:rsidR="008046B2" w:rsidRPr="00D54735" w:rsidRDefault="008046B2" w:rsidP="00D54735">
            <w:pPr>
              <w:spacing w:before="240" w:after="240" w:line="36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D54735">
              <w:rPr>
                <w:rFonts w:asciiTheme="majorHAnsi" w:hAnsiTheme="majorHAnsi"/>
                <w:b/>
                <w:bCs/>
                <w:sz w:val="24"/>
                <w:szCs w:val="24"/>
              </w:rPr>
              <w:t>programme</w:t>
            </w:r>
          </w:p>
        </w:tc>
        <w:tc>
          <w:tcPr>
            <w:tcW w:w="3071" w:type="dxa"/>
          </w:tcPr>
          <w:p w:rsidR="008046B2" w:rsidRPr="00D54735" w:rsidRDefault="00D54735" w:rsidP="00D54735">
            <w:pPr>
              <w:spacing w:before="240" w:after="240" w:line="36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D54735">
              <w:rPr>
                <w:rFonts w:asciiTheme="majorHAnsi" w:hAnsiTheme="majorHAns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614" w:type="dxa"/>
          </w:tcPr>
          <w:p w:rsidR="008046B2" w:rsidRPr="00D54735" w:rsidRDefault="00D54735" w:rsidP="00D54735">
            <w:pPr>
              <w:spacing w:before="240" w:after="240" w:line="36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D54735">
              <w:rPr>
                <w:rFonts w:asciiTheme="majorHAnsi" w:hAnsiTheme="majorHAnsi"/>
                <w:b/>
                <w:bCs/>
                <w:sz w:val="24"/>
                <w:szCs w:val="24"/>
              </w:rPr>
              <w:t>montant</w:t>
            </w:r>
          </w:p>
        </w:tc>
      </w:tr>
      <w:tr w:rsidR="008046B2" w:rsidTr="009D5677">
        <w:trPr>
          <w:trHeight w:val="709"/>
        </w:trPr>
        <w:tc>
          <w:tcPr>
            <w:tcW w:w="3070" w:type="dxa"/>
          </w:tcPr>
          <w:p w:rsidR="008046B2" w:rsidRDefault="00D54735" w:rsidP="008046B2">
            <w:pPr>
              <w:spacing w:before="240" w:after="240"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film</w:t>
            </w:r>
          </w:p>
        </w:tc>
        <w:tc>
          <w:tcPr>
            <w:tcW w:w="3071" w:type="dxa"/>
          </w:tcPr>
          <w:p w:rsidR="008046B2" w:rsidRDefault="00EC6CE9" w:rsidP="008046B2">
            <w:pPr>
              <w:spacing w:before="240" w:after="240"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100 ans de solitude</w:t>
            </w:r>
          </w:p>
        </w:tc>
        <w:tc>
          <w:tcPr>
            <w:tcW w:w="2614" w:type="dxa"/>
          </w:tcPr>
          <w:p w:rsidR="008046B2" w:rsidRDefault="00EC6CE9" w:rsidP="00EC6CE9">
            <w:pPr>
              <w:spacing w:before="240" w:after="240" w:line="360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25.000</w:t>
            </w:r>
          </w:p>
        </w:tc>
      </w:tr>
      <w:tr w:rsidR="008046B2" w:rsidTr="00EC6CE9">
        <w:tc>
          <w:tcPr>
            <w:tcW w:w="3070" w:type="dxa"/>
          </w:tcPr>
          <w:p w:rsidR="008046B2" w:rsidRDefault="00D54735" w:rsidP="008046B2">
            <w:pPr>
              <w:spacing w:before="240" w:after="240"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Dessin animé</w:t>
            </w:r>
          </w:p>
        </w:tc>
        <w:tc>
          <w:tcPr>
            <w:tcW w:w="3071" w:type="dxa"/>
          </w:tcPr>
          <w:p w:rsidR="008046B2" w:rsidRDefault="00EC6CE9" w:rsidP="008046B2">
            <w:pPr>
              <w:spacing w:before="240" w:after="240"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Tom and Jerry</w:t>
            </w:r>
          </w:p>
        </w:tc>
        <w:tc>
          <w:tcPr>
            <w:tcW w:w="2614" w:type="dxa"/>
          </w:tcPr>
          <w:p w:rsidR="008046B2" w:rsidRDefault="00EC6CE9" w:rsidP="00EC6CE9">
            <w:pPr>
              <w:spacing w:before="240" w:after="240" w:line="360" w:lineRule="auto"/>
              <w:ind w:left="238" w:hanging="238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45.000</w:t>
            </w:r>
          </w:p>
        </w:tc>
      </w:tr>
      <w:tr w:rsidR="00D54735" w:rsidTr="00EC6CE9">
        <w:tc>
          <w:tcPr>
            <w:tcW w:w="3070" w:type="dxa"/>
          </w:tcPr>
          <w:p w:rsidR="00D54735" w:rsidRPr="00EC6CE9" w:rsidRDefault="00EC6CE9" w:rsidP="008046B2">
            <w:pPr>
              <w:spacing w:before="240" w:after="240" w:line="360" w:lineRule="auto"/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</w:t>
            </w:r>
            <w:r w:rsidR="00D54735">
              <w:rPr>
                <w:rFonts w:asciiTheme="majorHAnsi" w:hAnsiTheme="majorHAnsi"/>
                <w:sz w:val="24"/>
                <w:szCs w:val="24"/>
              </w:rPr>
              <w:t>euilleton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1 </w:t>
            </w:r>
            <w:r>
              <w:rPr>
                <w:rFonts w:asciiTheme="majorHAnsi" w:hAnsiTheme="majorHAnsi"/>
                <w:sz w:val="24"/>
                <w:szCs w:val="24"/>
                <w:lang w:val="en-US"/>
              </w:rPr>
              <w:t>(80 Episodes</w:t>
            </w:r>
            <w:r>
              <w:rPr>
                <w:rFonts w:asciiTheme="majorHAnsi" w:hAnsiTheme="majorHAnsi"/>
                <w:sz w:val="24"/>
                <w:szCs w:val="24"/>
                <w:lang w:bidi="ar-TN"/>
              </w:rPr>
              <w:t>)</w:t>
            </w:r>
          </w:p>
        </w:tc>
        <w:tc>
          <w:tcPr>
            <w:tcW w:w="3071" w:type="dxa"/>
          </w:tcPr>
          <w:p w:rsidR="00D54735" w:rsidRDefault="007E639A" w:rsidP="008046B2">
            <w:pPr>
              <w:spacing w:before="240" w:after="240"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</w:t>
            </w:r>
            <w:r w:rsidR="00EC6CE9">
              <w:rPr>
                <w:rFonts w:asciiTheme="majorHAnsi" w:hAnsiTheme="majorHAnsi"/>
                <w:sz w:val="24"/>
                <w:szCs w:val="24"/>
              </w:rPr>
              <w:t>atma</w:t>
            </w:r>
          </w:p>
        </w:tc>
        <w:tc>
          <w:tcPr>
            <w:tcW w:w="2614" w:type="dxa"/>
          </w:tcPr>
          <w:p w:rsidR="00D54735" w:rsidRDefault="00EC6CE9" w:rsidP="00EC6CE9">
            <w:pPr>
              <w:spacing w:before="240" w:after="240" w:line="360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32.000</w:t>
            </w:r>
          </w:p>
        </w:tc>
      </w:tr>
      <w:tr w:rsidR="00EC6CE9" w:rsidTr="00EC6CE9">
        <w:tc>
          <w:tcPr>
            <w:tcW w:w="3070" w:type="dxa"/>
          </w:tcPr>
          <w:p w:rsidR="00EC6CE9" w:rsidRDefault="00EC6CE9" w:rsidP="00B23EDB">
            <w:pPr>
              <w:spacing w:before="240" w:after="240"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Feuilleton </w:t>
            </w:r>
            <w:r w:rsidR="00B23EDB">
              <w:rPr>
                <w:rFonts w:asciiTheme="majorHAnsi" w:hAnsiTheme="majorHAnsi"/>
                <w:sz w:val="24"/>
                <w:szCs w:val="24"/>
              </w:rPr>
              <w:t>2</w:t>
            </w:r>
            <w:r>
              <w:rPr>
                <w:rFonts w:asciiTheme="majorHAnsi" w:hAnsiTheme="majorHAnsi"/>
                <w:sz w:val="24"/>
                <w:szCs w:val="24"/>
                <w:lang w:val="en-US"/>
              </w:rPr>
              <w:t>(120 Episodes</w:t>
            </w:r>
            <w:r>
              <w:rPr>
                <w:rFonts w:asciiTheme="majorHAnsi" w:hAnsiTheme="majorHAnsi"/>
                <w:sz w:val="24"/>
                <w:szCs w:val="24"/>
                <w:lang w:bidi="ar-TN"/>
              </w:rPr>
              <w:t>)</w:t>
            </w:r>
          </w:p>
        </w:tc>
        <w:tc>
          <w:tcPr>
            <w:tcW w:w="3071" w:type="dxa"/>
          </w:tcPr>
          <w:p w:rsidR="00EC6CE9" w:rsidRDefault="00EC6CE9" w:rsidP="008046B2">
            <w:pPr>
              <w:spacing w:before="240" w:after="240"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El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ayam</w:t>
            </w:r>
            <w:proofErr w:type="spellEnd"/>
          </w:p>
        </w:tc>
        <w:tc>
          <w:tcPr>
            <w:tcW w:w="2614" w:type="dxa"/>
          </w:tcPr>
          <w:p w:rsidR="00EC6CE9" w:rsidRDefault="00EC6CE9" w:rsidP="00EC6CE9">
            <w:pPr>
              <w:spacing w:before="240" w:after="240" w:line="360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30.000</w:t>
            </w:r>
          </w:p>
        </w:tc>
      </w:tr>
      <w:tr w:rsidR="00B23EDB" w:rsidTr="001009DD">
        <w:trPr>
          <w:trHeight w:val="557"/>
        </w:trPr>
        <w:tc>
          <w:tcPr>
            <w:tcW w:w="3070" w:type="dxa"/>
          </w:tcPr>
          <w:p w:rsidR="00B23EDB" w:rsidRDefault="00B23EDB" w:rsidP="00B23EDB">
            <w:pPr>
              <w:spacing w:before="240" w:after="240"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Documentaire</w:t>
            </w:r>
          </w:p>
        </w:tc>
        <w:tc>
          <w:tcPr>
            <w:tcW w:w="3071" w:type="dxa"/>
          </w:tcPr>
          <w:p w:rsidR="00B23EDB" w:rsidRDefault="00B23EDB" w:rsidP="008046B2">
            <w:pPr>
              <w:spacing w:before="240" w:after="240"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Deuxième guère mondiale</w:t>
            </w:r>
          </w:p>
        </w:tc>
        <w:tc>
          <w:tcPr>
            <w:tcW w:w="2614" w:type="dxa"/>
          </w:tcPr>
          <w:p w:rsidR="00B23EDB" w:rsidRDefault="00B23EDB" w:rsidP="00EC6CE9">
            <w:pPr>
              <w:spacing w:before="240" w:after="240" w:line="360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15.000</w:t>
            </w:r>
          </w:p>
        </w:tc>
      </w:tr>
    </w:tbl>
    <w:p w:rsidR="00354AC0" w:rsidRDefault="00354AC0" w:rsidP="007E639A">
      <w:pPr>
        <w:pStyle w:val="Paragraphedeliste"/>
        <w:numPr>
          <w:ilvl w:val="0"/>
          <w:numId w:val="34"/>
        </w:numPr>
        <w:spacing w:before="240" w:after="240" w:line="360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Pour assurer la diffusion satellitaire de la chaine, une fréquence de 3 méga bites a été réservée. Cette opération est effectuée par une société spécialisée dans ce domaine</w:t>
      </w:r>
      <w:r w:rsidR="007F719F">
        <w:rPr>
          <w:rFonts w:asciiTheme="majorHAnsi" w:hAnsiTheme="majorHAnsi"/>
          <w:sz w:val="24"/>
          <w:szCs w:val="24"/>
        </w:rPr>
        <w:t xml:space="preserve"> dénommé</w:t>
      </w:r>
      <w:r>
        <w:rPr>
          <w:rFonts w:asciiTheme="majorHAnsi" w:hAnsiTheme="majorHAnsi"/>
          <w:sz w:val="24"/>
          <w:szCs w:val="24"/>
        </w:rPr>
        <w:t xml:space="preserve"> </w:t>
      </w:r>
      <w:r w:rsidRPr="00354AC0">
        <w:rPr>
          <w:rFonts w:asciiTheme="majorHAnsi" w:hAnsiTheme="majorHAnsi"/>
          <w:b/>
          <w:bCs/>
          <w:i/>
          <w:iCs/>
          <w:sz w:val="24"/>
          <w:szCs w:val="24"/>
        </w:rPr>
        <w:t>«Turquie fréquence»</w:t>
      </w:r>
      <w:r>
        <w:rPr>
          <w:rFonts w:asciiTheme="majorHAnsi" w:hAnsiTheme="majorHAnsi"/>
          <w:sz w:val="24"/>
          <w:szCs w:val="24"/>
        </w:rPr>
        <w:t xml:space="preserve"> </w:t>
      </w:r>
      <w:r w:rsidRPr="00706E40">
        <w:rPr>
          <w:rFonts w:asciiTheme="majorHAnsi" w:hAnsiTheme="majorHAnsi"/>
          <w:sz w:val="24"/>
          <w:szCs w:val="24"/>
        </w:rPr>
        <w:t xml:space="preserve">résidente </w:t>
      </w:r>
      <w:r>
        <w:rPr>
          <w:rFonts w:asciiTheme="majorHAnsi" w:hAnsiTheme="majorHAnsi"/>
          <w:sz w:val="24"/>
          <w:szCs w:val="24"/>
        </w:rPr>
        <w:t>en</w:t>
      </w:r>
      <w:r w:rsidRPr="00706E40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Turquie. Le contrat entre les deux sociétés stipule une rémunération de 20.000 TND par trimestre et que le </w:t>
      </w:r>
      <w:r w:rsidR="00B23EDB">
        <w:rPr>
          <w:rFonts w:asciiTheme="majorHAnsi" w:hAnsiTheme="majorHAnsi"/>
          <w:sz w:val="24"/>
          <w:szCs w:val="24"/>
        </w:rPr>
        <w:t xml:space="preserve">transfert </w:t>
      </w:r>
      <w:r w:rsidR="007E639A">
        <w:rPr>
          <w:rFonts w:asciiTheme="majorHAnsi" w:hAnsiTheme="majorHAnsi"/>
          <w:sz w:val="24"/>
          <w:szCs w:val="24"/>
        </w:rPr>
        <w:t xml:space="preserve">des fonds </w:t>
      </w:r>
      <w:r>
        <w:rPr>
          <w:rFonts w:asciiTheme="majorHAnsi" w:hAnsiTheme="majorHAnsi"/>
          <w:sz w:val="24"/>
          <w:szCs w:val="24"/>
        </w:rPr>
        <w:t>soit avant le 31 décembre de chaque année.</w:t>
      </w:r>
    </w:p>
    <w:p w:rsidR="00F141CD" w:rsidRPr="001D0A07" w:rsidRDefault="0069119D" w:rsidP="00354AC0">
      <w:pPr>
        <w:spacing w:before="240" w:after="240" w:line="36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i/>
          <w:iCs/>
          <w:sz w:val="24"/>
          <w:szCs w:val="24"/>
        </w:rPr>
        <w:t xml:space="preserve"> </w:t>
      </w:r>
      <w:r w:rsidR="00F141CD" w:rsidRPr="001D0A07">
        <w:rPr>
          <w:rFonts w:asciiTheme="majorHAnsi" w:hAnsiTheme="majorHAnsi"/>
          <w:b/>
          <w:bCs/>
          <w:sz w:val="24"/>
          <w:szCs w:val="24"/>
        </w:rPr>
        <w:t>Travail à faire :</w:t>
      </w:r>
    </w:p>
    <w:p w:rsidR="0079184A" w:rsidRDefault="0079184A" w:rsidP="0079184A">
      <w:pPr>
        <w:spacing w:before="120" w:after="12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Préparez une note </w:t>
      </w:r>
      <w:r w:rsidRPr="00C20B9C">
        <w:rPr>
          <w:rFonts w:asciiTheme="majorHAnsi" w:hAnsiTheme="majorHAnsi"/>
          <w:sz w:val="24"/>
          <w:szCs w:val="24"/>
        </w:rPr>
        <w:t>succincte</w:t>
      </w:r>
      <w:r>
        <w:rPr>
          <w:rFonts w:ascii="ArialMT" w:hAnsi="ArialMT" w:cs="ArialMT"/>
          <w:sz w:val="20"/>
          <w:szCs w:val="20"/>
        </w:rPr>
        <w:t xml:space="preserve"> </w:t>
      </w:r>
      <w:r w:rsidRPr="003A5FC0">
        <w:rPr>
          <w:rFonts w:asciiTheme="majorHAnsi" w:hAnsiTheme="majorHAnsi"/>
          <w:sz w:val="24"/>
          <w:szCs w:val="24"/>
        </w:rPr>
        <w:t>dans laquelle vous indiquez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le traitement fiscal approprié mis à la charge de la société </w:t>
      </w:r>
      <w:r w:rsidRPr="005464AE">
        <w:rPr>
          <w:rFonts w:asciiTheme="majorHAnsi" w:hAnsiTheme="majorHAnsi"/>
          <w:b/>
          <w:bCs/>
          <w:i/>
          <w:iCs/>
          <w:sz w:val="24"/>
          <w:szCs w:val="24"/>
        </w:rPr>
        <w:t>«</w:t>
      </w:r>
      <w:r>
        <w:rPr>
          <w:rFonts w:asciiTheme="majorHAnsi" w:hAnsiTheme="majorHAnsi"/>
          <w:b/>
          <w:bCs/>
          <w:i/>
          <w:iCs/>
          <w:sz w:val="24"/>
          <w:szCs w:val="24"/>
        </w:rPr>
        <w:t>Bara TV</w:t>
      </w:r>
      <w:r w:rsidRPr="005464AE">
        <w:rPr>
          <w:rFonts w:asciiTheme="majorHAnsi" w:hAnsiTheme="majorHAnsi"/>
          <w:b/>
          <w:bCs/>
          <w:i/>
          <w:iCs/>
          <w:sz w:val="24"/>
          <w:szCs w:val="24"/>
        </w:rPr>
        <w:t>»</w:t>
      </w:r>
      <w:r>
        <w:rPr>
          <w:rFonts w:asciiTheme="majorHAnsi" w:hAnsiTheme="majorHAnsi"/>
          <w:sz w:val="24"/>
          <w:szCs w:val="24"/>
        </w:rPr>
        <w:t xml:space="preserve"> concernant</w:t>
      </w:r>
      <w:r w:rsidRPr="00FE5C42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les</w:t>
      </w:r>
      <w:r w:rsidRPr="00FE5C42">
        <w:rPr>
          <w:rFonts w:asciiTheme="majorHAnsi" w:hAnsiTheme="majorHAnsi"/>
          <w:sz w:val="24"/>
          <w:szCs w:val="24"/>
        </w:rPr>
        <w:t xml:space="preserve"> opération</w:t>
      </w:r>
      <w:r>
        <w:rPr>
          <w:rFonts w:asciiTheme="majorHAnsi" w:hAnsiTheme="majorHAnsi"/>
          <w:sz w:val="24"/>
          <w:szCs w:val="24"/>
        </w:rPr>
        <w:t>s sus-indiquées sachant que le paiement effectif de ces montants a eu lieu au cours de l’année 2012 ?</w:t>
      </w:r>
    </w:p>
    <w:p w:rsidR="00B23EDB" w:rsidRDefault="00B23EDB" w:rsidP="0079184A">
      <w:pPr>
        <w:spacing w:before="120" w:after="120" w:line="360" w:lineRule="auto"/>
        <w:jc w:val="both"/>
        <w:rPr>
          <w:rFonts w:asciiTheme="majorHAnsi" w:hAnsiTheme="majorHAnsi"/>
          <w:sz w:val="24"/>
          <w:szCs w:val="24"/>
        </w:rPr>
      </w:pPr>
    </w:p>
    <w:p w:rsidR="00B23EDB" w:rsidRPr="00B23EDB" w:rsidRDefault="00B23EDB" w:rsidP="00B23EDB">
      <w:pPr>
        <w:spacing w:before="120" w:after="120" w:line="360" w:lineRule="auto"/>
        <w:jc w:val="right"/>
        <w:rPr>
          <w:rFonts w:asciiTheme="majorHAnsi" w:hAnsiTheme="majorHAnsi"/>
          <w:b/>
          <w:bCs/>
          <w:i/>
          <w:iCs/>
          <w:sz w:val="24"/>
          <w:szCs w:val="24"/>
        </w:rPr>
      </w:pPr>
      <w:r w:rsidRPr="00B23EDB">
        <w:rPr>
          <w:rFonts w:asciiTheme="majorHAnsi" w:hAnsiTheme="majorHAnsi"/>
          <w:b/>
          <w:bCs/>
          <w:i/>
          <w:iCs/>
          <w:sz w:val="24"/>
          <w:szCs w:val="24"/>
        </w:rPr>
        <w:t>Bonne chance</w:t>
      </w:r>
    </w:p>
    <w:p w:rsidR="00FA50FD" w:rsidRDefault="00FA50FD" w:rsidP="00F141CD">
      <w:pPr>
        <w:spacing w:before="120" w:after="120" w:line="360" w:lineRule="auto"/>
        <w:jc w:val="both"/>
        <w:rPr>
          <w:rFonts w:asciiTheme="majorHAnsi" w:hAnsiTheme="majorHAnsi"/>
          <w:sz w:val="24"/>
          <w:szCs w:val="24"/>
        </w:rPr>
      </w:pPr>
    </w:p>
    <w:p w:rsidR="00FA50FD" w:rsidRDefault="00FA50FD" w:rsidP="00F141CD">
      <w:pPr>
        <w:spacing w:before="120" w:after="120" w:line="360" w:lineRule="auto"/>
        <w:jc w:val="both"/>
        <w:rPr>
          <w:rFonts w:asciiTheme="majorHAnsi" w:hAnsiTheme="majorHAnsi"/>
          <w:sz w:val="24"/>
          <w:szCs w:val="24"/>
        </w:rPr>
      </w:pPr>
    </w:p>
    <w:p w:rsidR="00FA50FD" w:rsidRDefault="00FA50FD" w:rsidP="00F141CD">
      <w:pPr>
        <w:spacing w:before="120" w:after="120" w:line="360" w:lineRule="auto"/>
        <w:jc w:val="both"/>
        <w:rPr>
          <w:rFonts w:asciiTheme="majorHAnsi" w:hAnsiTheme="majorHAnsi"/>
          <w:sz w:val="24"/>
          <w:szCs w:val="24"/>
        </w:rPr>
      </w:pPr>
    </w:p>
    <w:p w:rsidR="006C1E53" w:rsidRDefault="006C1E53" w:rsidP="00F141CD">
      <w:pPr>
        <w:spacing w:before="120" w:after="120" w:line="360" w:lineRule="auto"/>
        <w:jc w:val="both"/>
        <w:rPr>
          <w:rFonts w:asciiTheme="majorHAnsi" w:hAnsiTheme="majorHAnsi"/>
          <w:sz w:val="24"/>
          <w:szCs w:val="24"/>
        </w:rPr>
      </w:pPr>
    </w:p>
    <w:p w:rsidR="006C1E53" w:rsidRDefault="006C1E53" w:rsidP="00F141CD">
      <w:pPr>
        <w:spacing w:before="120" w:after="120" w:line="360" w:lineRule="auto"/>
        <w:jc w:val="both"/>
        <w:rPr>
          <w:rFonts w:asciiTheme="majorHAnsi" w:hAnsiTheme="majorHAnsi"/>
          <w:sz w:val="24"/>
          <w:szCs w:val="24"/>
        </w:rPr>
      </w:pPr>
    </w:p>
    <w:sectPr w:rsidR="006C1E53" w:rsidSect="00BF2A3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189" w:rsidRDefault="00054189" w:rsidP="00A7596E">
      <w:pPr>
        <w:spacing w:after="0" w:line="240" w:lineRule="auto"/>
      </w:pPr>
      <w:r>
        <w:separator/>
      </w:r>
    </w:p>
  </w:endnote>
  <w:endnote w:type="continuationSeparator" w:id="0">
    <w:p w:rsidR="00054189" w:rsidRDefault="00054189" w:rsidP="00A75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537" w:rsidRDefault="006364D4" w:rsidP="002D4697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Mr SBAI Mounir</w:t>
    </w:r>
    <w:r w:rsidR="00C02537">
      <w:rPr>
        <w:rFonts w:asciiTheme="majorHAnsi" w:hAnsiTheme="majorHAnsi"/>
      </w:rPr>
      <w:ptab w:relativeTo="margin" w:alignment="right" w:leader="none"/>
    </w:r>
    <w:r w:rsidR="00C02537">
      <w:rPr>
        <w:rFonts w:asciiTheme="majorHAnsi" w:hAnsiTheme="majorHAnsi"/>
      </w:rPr>
      <w:t xml:space="preserve">Page </w:t>
    </w:r>
    <w:fldSimple w:instr=" PAGE   \* MERGEFORMAT ">
      <w:r w:rsidR="00C63456" w:rsidRPr="00C63456">
        <w:rPr>
          <w:rFonts w:asciiTheme="majorHAnsi" w:hAnsiTheme="majorHAnsi"/>
          <w:noProof/>
        </w:rPr>
        <w:t>5</w:t>
      </w:r>
    </w:fldSimple>
  </w:p>
  <w:p w:rsidR="00C02537" w:rsidRDefault="00C0253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189" w:rsidRDefault="00054189" w:rsidP="00A7596E">
      <w:pPr>
        <w:spacing w:after="0" w:line="240" w:lineRule="auto"/>
      </w:pPr>
      <w:r>
        <w:separator/>
      </w:r>
    </w:p>
  </w:footnote>
  <w:footnote w:type="continuationSeparator" w:id="0">
    <w:p w:rsidR="00054189" w:rsidRDefault="00054189" w:rsidP="00A75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A00A0"/>
    <w:multiLevelType w:val="hybridMultilevel"/>
    <w:tmpl w:val="9340820E"/>
    <w:lvl w:ilvl="0" w:tplc="A6A6D53A">
      <w:start w:val="1"/>
      <w:numFmt w:val="upperLetter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A9A7164"/>
    <w:multiLevelType w:val="hybridMultilevel"/>
    <w:tmpl w:val="B90452AE"/>
    <w:lvl w:ilvl="0" w:tplc="DF9E525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855B25"/>
    <w:multiLevelType w:val="hybridMultilevel"/>
    <w:tmpl w:val="AB50AD10"/>
    <w:lvl w:ilvl="0" w:tplc="CA8CF1D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b w:val="0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E1B2A"/>
    <w:multiLevelType w:val="hybridMultilevel"/>
    <w:tmpl w:val="8EDAB002"/>
    <w:lvl w:ilvl="0" w:tplc="EE2A84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4945A7"/>
    <w:multiLevelType w:val="hybridMultilevel"/>
    <w:tmpl w:val="578CF458"/>
    <w:lvl w:ilvl="0" w:tplc="57305A30">
      <w:start w:val="1"/>
      <w:numFmt w:val="upperLetter"/>
      <w:lvlText w:val="%1-"/>
      <w:lvlJc w:val="left"/>
      <w:pPr>
        <w:ind w:left="135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7F835F1"/>
    <w:multiLevelType w:val="hybridMultilevel"/>
    <w:tmpl w:val="A16C3E44"/>
    <w:lvl w:ilvl="0" w:tplc="F9EC7C5E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AE6117B"/>
    <w:multiLevelType w:val="hybridMultilevel"/>
    <w:tmpl w:val="015C5F9E"/>
    <w:lvl w:ilvl="0" w:tplc="B9A0BB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634F89"/>
    <w:multiLevelType w:val="hybridMultilevel"/>
    <w:tmpl w:val="A26EF2DC"/>
    <w:lvl w:ilvl="0" w:tplc="7214C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1550D5"/>
    <w:multiLevelType w:val="hybridMultilevel"/>
    <w:tmpl w:val="3CC6F3D0"/>
    <w:lvl w:ilvl="0" w:tplc="F59E7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2B0F08"/>
    <w:multiLevelType w:val="hybridMultilevel"/>
    <w:tmpl w:val="E7DC63F0"/>
    <w:lvl w:ilvl="0" w:tplc="01D6E73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380A6F"/>
    <w:multiLevelType w:val="hybridMultilevel"/>
    <w:tmpl w:val="87C4ED9A"/>
    <w:lvl w:ilvl="0" w:tplc="EA0A314C">
      <w:start w:val="1"/>
      <w:numFmt w:val="upperLetter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D1F49DA"/>
    <w:multiLevelType w:val="hybridMultilevel"/>
    <w:tmpl w:val="F2649576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0783263"/>
    <w:multiLevelType w:val="hybridMultilevel"/>
    <w:tmpl w:val="6D6E6C4E"/>
    <w:lvl w:ilvl="0" w:tplc="62EECB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3B5BE0"/>
    <w:multiLevelType w:val="hybridMultilevel"/>
    <w:tmpl w:val="F5546246"/>
    <w:lvl w:ilvl="0" w:tplc="872E52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171D82"/>
    <w:multiLevelType w:val="hybridMultilevel"/>
    <w:tmpl w:val="EEE43BC0"/>
    <w:lvl w:ilvl="0" w:tplc="BD54EB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FF1DAA"/>
    <w:multiLevelType w:val="hybridMultilevel"/>
    <w:tmpl w:val="E4B0B700"/>
    <w:lvl w:ilvl="0" w:tplc="20FE268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E75968"/>
    <w:multiLevelType w:val="hybridMultilevel"/>
    <w:tmpl w:val="A054540C"/>
    <w:lvl w:ilvl="0" w:tplc="DFBE1C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3F53A8"/>
    <w:multiLevelType w:val="hybridMultilevel"/>
    <w:tmpl w:val="6D585064"/>
    <w:lvl w:ilvl="0" w:tplc="71040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C56131"/>
    <w:multiLevelType w:val="hybridMultilevel"/>
    <w:tmpl w:val="9CAE65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971155"/>
    <w:multiLevelType w:val="hybridMultilevel"/>
    <w:tmpl w:val="134E13E2"/>
    <w:lvl w:ilvl="0" w:tplc="27B8024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495593"/>
    <w:multiLevelType w:val="hybridMultilevel"/>
    <w:tmpl w:val="75E075F6"/>
    <w:lvl w:ilvl="0" w:tplc="81CCF2D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6D425E"/>
    <w:multiLevelType w:val="hybridMultilevel"/>
    <w:tmpl w:val="E0EC5DC6"/>
    <w:lvl w:ilvl="0" w:tplc="9044ED4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542C2D"/>
    <w:multiLevelType w:val="hybridMultilevel"/>
    <w:tmpl w:val="B90452AE"/>
    <w:lvl w:ilvl="0" w:tplc="DF9E525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BB507CA"/>
    <w:multiLevelType w:val="hybridMultilevel"/>
    <w:tmpl w:val="9AE251C2"/>
    <w:lvl w:ilvl="0" w:tplc="0610F4B0">
      <w:start w:val="1"/>
      <w:numFmt w:val="upperRoman"/>
      <w:lvlText w:val="%1-"/>
      <w:lvlJc w:val="left"/>
      <w:pPr>
        <w:ind w:left="143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255131"/>
    <w:multiLevelType w:val="hybridMultilevel"/>
    <w:tmpl w:val="A7CA97C4"/>
    <w:lvl w:ilvl="0" w:tplc="9EA473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0550E3"/>
    <w:multiLevelType w:val="hybridMultilevel"/>
    <w:tmpl w:val="E4B0B700"/>
    <w:lvl w:ilvl="0" w:tplc="20FE268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5561E0"/>
    <w:multiLevelType w:val="hybridMultilevel"/>
    <w:tmpl w:val="A054540C"/>
    <w:lvl w:ilvl="0" w:tplc="DFBE1C86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09632BA"/>
    <w:multiLevelType w:val="hybridMultilevel"/>
    <w:tmpl w:val="D6FE5E54"/>
    <w:lvl w:ilvl="0" w:tplc="4CDAA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14"/>
        <w:szCs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5F0977"/>
    <w:multiLevelType w:val="hybridMultilevel"/>
    <w:tmpl w:val="631A5B48"/>
    <w:lvl w:ilvl="0" w:tplc="D7EC3BEE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D371A0"/>
    <w:multiLevelType w:val="hybridMultilevel"/>
    <w:tmpl w:val="41AA9864"/>
    <w:lvl w:ilvl="0" w:tplc="E46A6EB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CE6580"/>
    <w:multiLevelType w:val="hybridMultilevel"/>
    <w:tmpl w:val="955446C6"/>
    <w:lvl w:ilvl="0" w:tplc="71F2C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664AA4"/>
    <w:multiLevelType w:val="hybridMultilevel"/>
    <w:tmpl w:val="912CF252"/>
    <w:lvl w:ilvl="0" w:tplc="ECE0EE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561BCA"/>
    <w:multiLevelType w:val="hybridMultilevel"/>
    <w:tmpl w:val="85EAD5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E95F29"/>
    <w:multiLevelType w:val="hybridMultilevel"/>
    <w:tmpl w:val="F67209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AC530D"/>
    <w:multiLevelType w:val="hybridMultilevel"/>
    <w:tmpl w:val="0A4C53A2"/>
    <w:lvl w:ilvl="0" w:tplc="66EA80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EA7187"/>
    <w:multiLevelType w:val="hybridMultilevel"/>
    <w:tmpl w:val="3D44D8FE"/>
    <w:lvl w:ilvl="0" w:tplc="279E3E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9A1E81"/>
    <w:multiLevelType w:val="hybridMultilevel"/>
    <w:tmpl w:val="CDDE6FE0"/>
    <w:lvl w:ilvl="0" w:tplc="FEF48A4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"/>
  </w:num>
  <w:num w:numId="3">
    <w:abstractNumId w:val="16"/>
  </w:num>
  <w:num w:numId="4">
    <w:abstractNumId w:val="29"/>
  </w:num>
  <w:num w:numId="5">
    <w:abstractNumId w:val="26"/>
  </w:num>
  <w:num w:numId="6">
    <w:abstractNumId w:val="2"/>
  </w:num>
  <w:num w:numId="7">
    <w:abstractNumId w:val="20"/>
  </w:num>
  <w:num w:numId="8">
    <w:abstractNumId w:val="21"/>
  </w:num>
  <w:num w:numId="9">
    <w:abstractNumId w:val="22"/>
  </w:num>
  <w:num w:numId="10">
    <w:abstractNumId w:val="28"/>
  </w:num>
  <w:num w:numId="11">
    <w:abstractNumId w:val="25"/>
  </w:num>
  <w:num w:numId="12">
    <w:abstractNumId w:val="17"/>
  </w:num>
  <w:num w:numId="13">
    <w:abstractNumId w:val="15"/>
  </w:num>
  <w:num w:numId="14">
    <w:abstractNumId w:val="5"/>
  </w:num>
  <w:num w:numId="15">
    <w:abstractNumId w:val="0"/>
  </w:num>
  <w:num w:numId="16">
    <w:abstractNumId w:val="14"/>
  </w:num>
  <w:num w:numId="17">
    <w:abstractNumId w:val="10"/>
  </w:num>
  <w:num w:numId="18">
    <w:abstractNumId w:val="4"/>
  </w:num>
  <w:num w:numId="19">
    <w:abstractNumId w:val="19"/>
  </w:num>
  <w:num w:numId="20">
    <w:abstractNumId w:val="9"/>
  </w:num>
  <w:num w:numId="21">
    <w:abstractNumId w:val="24"/>
  </w:num>
  <w:num w:numId="22">
    <w:abstractNumId w:val="11"/>
  </w:num>
  <w:num w:numId="23">
    <w:abstractNumId w:val="1"/>
  </w:num>
  <w:num w:numId="24">
    <w:abstractNumId w:val="35"/>
  </w:num>
  <w:num w:numId="25">
    <w:abstractNumId w:val="33"/>
  </w:num>
  <w:num w:numId="26">
    <w:abstractNumId w:val="34"/>
  </w:num>
  <w:num w:numId="27">
    <w:abstractNumId w:val="8"/>
  </w:num>
  <w:num w:numId="28">
    <w:abstractNumId w:val="32"/>
  </w:num>
  <w:num w:numId="29">
    <w:abstractNumId w:val="30"/>
  </w:num>
  <w:num w:numId="30">
    <w:abstractNumId w:val="36"/>
  </w:num>
  <w:num w:numId="31">
    <w:abstractNumId w:val="31"/>
  </w:num>
  <w:num w:numId="32">
    <w:abstractNumId w:val="13"/>
  </w:num>
  <w:num w:numId="33">
    <w:abstractNumId w:val="6"/>
  </w:num>
  <w:num w:numId="34">
    <w:abstractNumId w:val="18"/>
  </w:num>
  <w:num w:numId="35">
    <w:abstractNumId w:val="12"/>
  </w:num>
  <w:num w:numId="36">
    <w:abstractNumId w:val="27"/>
  </w:num>
  <w:num w:numId="3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0696"/>
    <w:rsid w:val="000036C0"/>
    <w:rsid w:val="0000459B"/>
    <w:rsid w:val="00004F26"/>
    <w:rsid w:val="00007463"/>
    <w:rsid w:val="000113B3"/>
    <w:rsid w:val="000132A4"/>
    <w:rsid w:val="00017AFD"/>
    <w:rsid w:val="000339A6"/>
    <w:rsid w:val="00045826"/>
    <w:rsid w:val="00053EFD"/>
    <w:rsid w:val="00054189"/>
    <w:rsid w:val="00055CE8"/>
    <w:rsid w:val="00060362"/>
    <w:rsid w:val="00063BF4"/>
    <w:rsid w:val="00064039"/>
    <w:rsid w:val="00066D61"/>
    <w:rsid w:val="00073FF9"/>
    <w:rsid w:val="00074BA6"/>
    <w:rsid w:val="00082D40"/>
    <w:rsid w:val="00085FD4"/>
    <w:rsid w:val="000865EC"/>
    <w:rsid w:val="00095611"/>
    <w:rsid w:val="00096058"/>
    <w:rsid w:val="000C716A"/>
    <w:rsid w:val="000D184F"/>
    <w:rsid w:val="000D456F"/>
    <w:rsid w:val="000D55EB"/>
    <w:rsid w:val="000D6D33"/>
    <w:rsid w:val="000E6444"/>
    <w:rsid w:val="000F03E9"/>
    <w:rsid w:val="000F4EC9"/>
    <w:rsid w:val="000F60B7"/>
    <w:rsid w:val="001009DD"/>
    <w:rsid w:val="00111B04"/>
    <w:rsid w:val="001160D5"/>
    <w:rsid w:val="001174E4"/>
    <w:rsid w:val="00121EC9"/>
    <w:rsid w:val="001236C1"/>
    <w:rsid w:val="001243C7"/>
    <w:rsid w:val="00124CF0"/>
    <w:rsid w:val="0013472C"/>
    <w:rsid w:val="00143C8C"/>
    <w:rsid w:val="00152656"/>
    <w:rsid w:val="00160BB4"/>
    <w:rsid w:val="00161307"/>
    <w:rsid w:val="00164E89"/>
    <w:rsid w:val="00183D33"/>
    <w:rsid w:val="00196714"/>
    <w:rsid w:val="001B2CC9"/>
    <w:rsid w:val="001B7009"/>
    <w:rsid w:val="001D0A07"/>
    <w:rsid w:val="001D4B79"/>
    <w:rsid w:val="001D704B"/>
    <w:rsid w:val="001E2464"/>
    <w:rsid w:val="001E5FAE"/>
    <w:rsid w:val="001F0061"/>
    <w:rsid w:val="001F104E"/>
    <w:rsid w:val="001F42EA"/>
    <w:rsid w:val="00200312"/>
    <w:rsid w:val="00200852"/>
    <w:rsid w:val="00202494"/>
    <w:rsid w:val="002105CA"/>
    <w:rsid w:val="00224CCC"/>
    <w:rsid w:val="00230FDD"/>
    <w:rsid w:val="0023307B"/>
    <w:rsid w:val="00242862"/>
    <w:rsid w:val="00242AF8"/>
    <w:rsid w:val="002459E8"/>
    <w:rsid w:val="0025071C"/>
    <w:rsid w:val="00253F9F"/>
    <w:rsid w:val="002613FD"/>
    <w:rsid w:val="002644C4"/>
    <w:rsid w:val="00264A56"/>
    <w:rsid w:val="00273852"/>
    <w:rsid w:val="00281CB4"/>
    <w:rsid w:val="00291A95"/>
    <w:rsid w:val="002A0288"/>
    <w:rsid w:val="002A0730"/>
    <w:rsid w:val="002B0B4F"/>
    <w:rsid w:val="002B2EC2"/>
    <w:rsid w:val="002B5077"/>
    <w:rsid w:val="002C2706"/>
    <w:rsid w:val="002C4803"/>
    <w:rsid w:val="002D4697"/>
    <w:rsid w:val="002F62ED"/>
    <w:rsid w:val="002F750A"/>
    <w:rsid w:val="0031228C"/>
    <w:rsid w:val="00315FE4"/>
    <w:rsid w:val="00333E12"/>
    <w:rsid w:val="003370A9"/>
    <w:rsid w:val="00350DAF"/>
    <w:rsid w:val="00354407"/>
    <w:rsid w:val="00354886"/>
    <w:rsid w:val="00354AC0"/>
    <w:rsid w:val="00355DF3"/>
    <w:rsid w:val="00356B3A"/>
    <w:rsid w:val="00362E58"/>
    <w:rsid w:val="00363601"/>
    <w:rsid w:val="003675F1"/>
    <w:rsid w:val="003704E8"/>
    <w:rsid w:val="003818A5"/>
    <w:rsid w:val="00385A53"/>
    <w:rsid w:val="0039025C"/>
    <w:rsid w:val="00392371"/>
    <w:rsid w:val="00397137"/>
    <w:rsid w:val="003A25CA"/>
    <w:rsid w:val="003A3292"/>
    <w:rsid w:val="003A5FC0"/>
    <w:rsid w:val="003B73A3"/>
    <w:rsid w:val="003B775D"/>
    <w:rsid w:val="003E03E0"/>
    <w:rsid w:val="003E4E47"/>
    <w:rsid w:val="004038F6"/>
    <w:rsid w:val="00404907"/>
    <w:rsid w:val="004053A4"/>
    <w:rsid w:val="0040542B"/>
    <w:rsid w:val="00420DFE"/>
    <w:rsid w:val="00421F75"/>
    <w:rsid w:val="0042436F"/>
    <w:rsid w:val="0042529E"/>
    <w:rsid w:val="00427BFE"/>
    <w:rsid w:val="004349DC"/>
    <w:rsid w:val="00434E61"/>
    <w:rsid w:val="0043718A"/>
    <w:rsid w:val="004451F6"/>
    <w:rsid w:val="004608CC"/>
    <w:rsid w:val="00462D66"/>
    <w:rsid w:val="0046706C"/>
    <w:rsid w:val="00475F43"/>
    <w:rsid w:val="004A34F1"/>
    <w:rsid w:val="004A6126"/>
    <w:rsid w:val="004A72BB"/>
    <w:rsid w:val="004B016D"/>
    <w:rsid w:val="004C3E4E"/>
    <w:rsid w:val="004C5069"/>
    <w:rsid w:val="004E4C32"/>
    <w:rsid w:val="004F6D6C"/>
    <w:rsid w:val="0050229C"/>
    <w:rsid w:val="0051515D"/>
    <w:rsid w:val="00525290"/>
    <w:rsid w:val="005446C9"/>
    <w:rsid w:val="005464AE"/>
    <w:rsid w:val="00552B66"/>
    <w:rsid w:val="00561329"/>
    <w:rsid w:val="00565F58"/>
    <w:rsid w:val="00575AD3"/>
    <w:rsid w:val="00584D05"/>
    <w:rsid w:val="005A0C2B"/>
    <w:rsid w:val="005A4E39"/>
    <w:rsid w:val="005A6378"/>
    <w:rsid w:val="005A6CC8"/>
    <w:rsid w:val="005B62DF"/>
    <w:rsid w:val="005D5DBC"/>
    <w:rsid w:val="005D6D06"/>
    <w:rsid w:val="005D7AA4"/>
    <w:rsid w:val="005E408E"/>
    <w:rsid w:val="005E5F62"/>
    <w:rsid w:val="005F0960"/>
    <w:rsid w:val="005F7BF0"/>
    <w:rsid w:val="006042E5"/>
    <w:rsid w:val="00615EB9"/>
    <w:rsid w:val="006364D4"/>
    <w:rsid w:val="0063730C"/>
    <w:rsid w:val="0064156F"/>
    <w:rsid w:val="00642D02"/>
    <w:rsid w:val="00644A54"/>
    <w:rsid w:val="006464A9"/>
    <w:rsid w:val="00647DED"/>
    <w:rsid w:val="00653824"/>
    <w:rsid w:val="00661F37"/>
    <w:rsid w:val="006636E8"/>
    <w:rsid w:val="00665F44"/>
    <w:rsid w:val="00671A21"/>
    <w:rsid w:val="00684C07"/>
    <w:rsid w:val="00687271"/>
    <w:rsid w:val="0069119D"/>
    <w:rsid w:val="006B1175"/>
    <w:rsid w:val="006B33CD"/>
    <w:rsid w:val="006B42CE"/>
    <w:rsid w:val="006B48B2"/>
    <w:rsid w:val="006B7704"/>
    <w:rsid w:val="006C1E53"/>
    <w:rsid w:val="006C3F72"/>
    <w:rsid w:val="006C4B1A"/>
    <w:rsid w:val="006C5C0F"/>
    <w:rsid w:val="006E4A01"/>
    <w:rsid w:val="006E63C5"/>
    <w:rsid w:val="006E71E6"/>
    <w:rsid w:val="006E7435"/>
    <w:rsid w:val="0070215C"/>
    <w:rsid w:val="007051D4"/>
    <w:rsid w:val="00706E40"/>
    <w:rsid w:val="00710E36"/>
    <w:rsid w:val="00720EB5"/>
    <w:rsid w:val="007275C6"/>
    <w:rsid w:val="00733BD8"/>
    <w:rsid w:val="00735CAB"/>
    <w:rsid w:val="00737399"/>
    <w:rsid w:val="0074394F"/>
    <w:rsid w:val="0074397E"/>
    <w:rsid w:val="007440BB"/>
    <w:rsid w:val="0075623B"/>
    <w:rsid w:val="007662E0"/>
    <w:rsid w:val="0077196A"/>
    <w:rsid w:val="00784F2F"/>
    <w:rsid w:val="0079184A"/>
    <w:rsid w:val="007A4A2A"/>
    <w:rsid w:val="007A5B63"/>
    <w:rsid w:val="007A6344"/>
    <w:rsid w:val="007B7214"/>
    <w:rsid w:val="007C1511"/>
    <w:rsid w:val="007C273E"/>
    <w:rsid w:val="007C5705"/>
    <w:rsid w:val="007D1E87"/>
    <w:rsid w:val="007E639A"/>
    <w:rsid w:val="007F1AC5"/>
    <w:rsid w:val="007F5090"/>
    <w:rsid w:val="007F719F"/>
    <w:rsid w:val="008046B2"/>
    <w:rsid w:val="00804BB3"/>
    <w:rsid w:val="008054D6"/>
    <w:rsid w:val="0080604E"/>
    <w:rsid w:val="0080633F"/>
    <w:rsid w:val="0082132E"/>
    <w:rsid w:val="0082474F"/>
    <w:rsid w:val="00850E24"/>
    <w:rsid w:val="0087607D"/>
    <w:rsid w:val="00893AFB"/>
    <w:rsid w:val="008958FF"/>
    <w:rsid w:val="00896BC6"/>
    <w:rsid w:val="0089793F"/>
    <w:rsid w:val="008A0686"/>
    <w:rsid w:val="008B21AC"/>
    <w:rsid w:val="008C26F8"/>
    <w:rsid w:val="008C3137"/>
    <w:rsid w:val="008C3B62"/>
    <w:rsid w:val="008D5F5B"/>
    <w:rsid w:val="008E47C4"/>
    <w:rsid w:val="008F4CE2"/>
    <w:rsid w:val="008F5C66"/>
    <w:rsid w:val="008F5EB1"/>
    <w:rsid w:val="009131DA"/>
    <w:rsid w:val="009135DE"/>
    <w:rsid w:val="00916BAB"/>
    <w:rsid w:val="00925C01"/>
    <w:rsid w:val="00946BC3"/>
    <w:rsid w:val="00954592"/>
    <w:rsid w:val="00964FAB"/>
    <w:rsid w:val="00965D64"/>
    <w:rsid w:val="00976132"/>
    <w:rsid w:val="00980E3A"/>
    <w:rsid w:val="009823B1"/>
    <w:rsid w:val="00994331"/>
    <w:rsid w:val="009A0871"/>
    <w:rsid w:val="009A27E5"/>
    <w:rsid w:val="009B2D78"/>
    <w:rsid w:val="009B5D39"/>
    <w:rsid w:val="009B65AE"/>
    <w:rsid w:val="009C1785"/>
    <w:rsid w:val="009C500B"/>
    <w:rsid w:val="009C5B97"/>
    <w:rsid w:val="009D5677"/>
    <w:rsid w:val="009E19E3"/>
    <w:rsid w:val="009E45A9"/>
    <w:rsid w:val="009F4EAB"/>
    <w:rsid w:val="009F609F"/>
    <w:rsid w:val="009F76A5"/>
    <w:rsid w:val="00A04E0B"/>
    <w:rsid w:val="00A112B4"/>
    <w:rsid w:val="00A23D97"/>
    <w:rsid w:val="00A23DD7"/>
    <w:rsid w:val="00A2583B"/>
    <w:rsid w:val="00A34813"/>
    <w:rsid w:val="00A34A41"/>
    <w:rsid w:val="00A351C8"/>
    <w:rsid w:val="00A37B0C"/>
    <w:rsid w:val="00A4478E"/>
    <w:rsid w:val="00A55EDA"/>
    <w:rsid w:val="00A56E2F"/>
    <w:rsid w:val="00A7596E"/>
    <w:rsid w:val="00A84E4C"/>
    <w:rsid w:val="00A862A7"/>
    <w:rsid w:val="00AB069B"/>
    <w:rsid w:val="00AB7EF9"/>
    <w:rsid w:val="00AC651D"/>
    <w:rsid w:val="00AD6C3F"/>
    <w:rsid w:val="00AD7115"/>
    <w:rsid w:val="00AE075F"/>
    <w:rsid w:val="00AE38F7"/>
    <w:rsid w:val="00AE62A8"/>
    <w:rsid w:val="00AF670E"/>
    <w:rsid w:val="00B01DD9"/>
    <w:rsid w:val="00B10598"/>
    <w:rsid w:val="00B10829"/>
    <w:rsid w:val="00B14575"/>
    <w:rsid w:val="00B17A89"/>
    <w:rsid w:val="00B22001"/>
    <w:rsid w:val="00B23E94"/>
    <w:rsid w:val="00B23EDB"/>
    <w:rsid w:val="00B26308"/>
    <w:rsid w:val="00B3186B"/>
    <w:rsid w:val="00B401C2"/>
    <w:rsid w:val="00B45A80"/>
    <w:rsid w:val="00B45C66"/>
    <w:rsid w:val="00B500A8"/>
    <w:rsid w:val="00B63B93"/>
    <w:rsid w:val="00B70A54"/>
    <w:rsid w:val="00B7263F"/>
    <w:rsid w:val="00B84877"/>
    <w:rsid w:val="00B84F60"/>
    <w:rsid w:val="00B91AA8"/>
    <w:rsid w:val="00BB39B7"/>
    <w:rsid w:val="00BC5AB1"/>
    <w:rsid w:val="00BD33DD"/>
    <w:rsid w:val="00BE1CD8"/>
    <w:rsid w:val="00BF2A32"/>
    <w:rsid w:val="00C0020B"/>
    <w:rsid w:val="00C02537"/>
    <w:rsid w:val="00C24FEC"/>
    <w:rsid w:val="00C26611"/>
    <w:rsid w:val="00C30505"/>
    <w:rsid w:val="00C443CC"/>
    <w:rsid w:val="00C456FB"/>
    <w:rsid w:val="00C45896"/>
    <w:rsid w:val="00C47DF5"/>
    <w:rsid w:val="00C50338"/>
    <w:rsid w:val="00C55D64"/>
    <w:rsid w:val="00C609E6"/>
    <w:rsid w:val="00C63456"/>
    <w:rsid w:val="00C63473"/>
    <w:rsid w:val="00C651B2"/>
    <w:rsid w:val="00C661A0"/>
    <w:rsid w:val="00C70A54"/>
    <w:rsid w:val="00C71699"/>
    <w:rsid w:val="00C72921"/>
    <w:rsid w:val="00C81B4E"/>
    <w:rsid w:val="00C92A0A"/>
    <w:rsid w:val="00C93304"/>
    <w:rsid w:val="00C93F0E"/>
    <w:rsid w:val="00CA44A0"/>
    <w:rsid w:val="00CA489A"/>
    <w:rsid w:val="00CB1E73"/>
    <w:rsid w:val="00CC103E"/>
    <w:rsid w:val="00CC75EF"/>
    <w:rsid w:val="00CE7FCC"/>
    <w:rsid w:val="00D03C3A"/>
    <w:rsid w:val="00D074FE"/>
    <w:rsid w:val="00D15714"/>
    <w:rsid w:val="00D15C38"/>
    <w:rsid w:val="00D208CD"/>
    <w:rsid w:val="00D26D90"/>
    <w:rsid w:val="00D36892"/>
    <w:rsid w:val="00D44EE9"/>
    <w:rsid w:val="00D4565D"/>
    <w:rsid w:val="00D46EA4"/>
    <w:rsid w:val="00D54735"/>
    <w:rsid w:val="00D65587"/>
    <w:rsid w:val="00D80873"/>
    <w:rsid w:val="00D81093"/>
    <w:rsid w:val="00D8267E"/>
    <w:rsid w:val="00D83B53"/>
    <w:rsid w:val="00D95924"/>
    <w:rsid w:val="00D974CE"/>
    <w:rsid w:val="00DA0AFB"/>
    <w:rsid w:val="00DB0F1B"/>
    <w:rsid w:val="00DB22BA"/>
    <w:rsid w:val="00DB45D8"/>
    <w:rsid w:val="00DD314C"/>
    <w:rsid w:val="00DD45B7"/>
    <w:rsid w:val="00DE0E57"/>
    <w:rsid w:val="00DE342E"/>
    <w:rsid w:val="00DE5244"/>
    <w:rsid w:val="00DE7D2E"/>
    <w:rsid w:val="00DE7D3C"/>
    <w:rsid w:val="00E0449A"/>
    <w:rsid w:val="00E16ABB"/>
    <w:rsid w:val="00E16BA7"/>
    <w:rsid w:val="00E252F7"/>
    <w:rsid w:val="00E33B87"/>
    <w:rsid w:val="00E353DD"/>
    <w:rsid w:val="00E35FB3"/>
    <w:rsid w:val="00E362A2"/>
    <w:rsid w:val="00E3711E"/>
    <w:rsid w:val="00E6051F"/>
    <w:rsid w:val="00E61F0B"/>
    <w:rsid w:val="00E6739E"/>
    <w:rsid w:val="00E72BC4"/>
    <w:rsid w:val="00E865F4"/>
    <w:rsid w:val="00E9001A"/>
    <w:rsid w:val="00EB291B"/>
    <w:rsid w:val="00EB6EFB"/>
    <w:rsid w:val="00EC1BDC"/>
    <w:rsid w:val="00EC6CE9"/>
    <w:rsid w:val="00ED0C8C"/>
    <w:rsid w:val="00ED31DB"/>
    <w:rsid w:val="00ED34FF"/>
    <w:rsid w:val="00ED397F"/>
    <w:rsid w:val="00EE0547"/>
    <w:rsid w:val="00EF675D"/>
    <w:rsid w:val="00F141CD"/>
    <w:rsid w:val="00F274B0"/>
    <w:rsid w:val="00F44951"/>
    <w:rsid w:val="00F44B75"/>
    <w:rsid w:val="00F6721A"/>
    <w:rsid w:val="00F67AB1"/>
    <w:rsid w:val="00F81897"/>
    <w:rsid w:val="00F92975"/>
    <w:rsid w:val="00F960B9"/>
    <w:rsid w:val="00FA0E1B"/>
    <w:rsid w:val="00FA2FC4"/>
    <w:rsid w:val="00FA50FD"/>
    <w:rsid w:val="00FB0824"/>
    <w:rsid w:val="00FB3B48"/>
    <w:rsid w:val="00FC34C2"/>
    <w:rsid w:val="00FC5FB5"/>
    <w:rsid w:val="00FD024B"/>
    <w:rsid w:val="00FD1C79"/>
    <w:rsid w:val="00FD2779"/>
    <w:rsid w:val="00FD45D4"/>
    <w:rsid w:val="00FE0696"/>
    <w:rsid w:val="00FE5C42"/>
    <w:rsid w:val="00FE720F"/>
    <w:rsid w:val="00FF2CA5"/>
    <w:rsid w:val="00FF4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A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5ED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75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596E"/>
  </w:style>
  <w:style w:type="paragraph" w:styleId="Pieddepage">
    <w:name w:val="footer"/>
    <w:basedOn w:val="Normal"/>
    <w:link w:val="PieddepageCar"/>
    <w:uiPriority w:val="99"/>
    <w:unhideWhenUsed/>
    <w:rsid w:val="00A75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596E"/>
  </w:style>
  <w:style w:type="paragraph" w:styleId="Textedebulles">
    <w:name w:val="Balloon Text"/>
    <w:basedOn w:val="Normal"/>
    <w:link w:val="TextedebullesCar"/>
    <w:uiPriority w:val="99"/>
    <w:semiHidden/>
    <w:unhideWhenUsed/>
    <w:rsid w:val="00A75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596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049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804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27D16-433D-495A-9A40-B3B9B009A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3357</TotalTime>
  <Pages>5</Pages>
  <Words>1003</Words>
  <Characters>5517</Characters>
  <Application>Microsoft Office Word</Application>
  <DocSecurity>0</DocSecurity>
  <Lines>45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mounir</dc:creator>
  <cp:keywords/>
  <dc:description/>
  <cp:lastModifiedBy>mounir</cp:lastModifiedBy>
  <cp:revision>167</cp:revision>
  <cp:lastPrinted>2013-12-25T14:33:00Z</cp:lastPrinted>
  <dcterms:created xsi:type="dcterms:W3CDTF">2012-10-23T11:29:00Z</dcterms:created>
  <dcterms:modified xsi:type="dcterms:W3CDTF">2014-01-10T13:19:00Z</dcterms:modified>
</cp:coreProperties>
</file>