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B9E" w:rsidRPr="005A1646" w:rsidRDefault="00111B9E" w:rsidP="00A8017E">
      <w:pPr>
        <w:spacing w:line="360" w:lineRule="auto"/>
        <w:jc w:val="both"/>
        <w:rPr>
          <w:rFonts w:asciiTheme="majorHAnsi" w:hAnsiTheme="majorHAnsi"/>
          <w:b/>
          <w:bCs/>
          <w:sz w:val="24"/>
          <w:szCs w:val="24"/>
        </w:rPr>
      </w:pPr>
      <w:r w:rsidRPr="005A1646">
        <w:rPr>
          <w:rFonts w:asciiTheme="majorHAnsi" w:hAnsiTheme="majorHAnsi"/>
          <w:b/>
          <w:bCs/>
          <w:sz w:val="24"/>
          <w:szCs w:val="24"/>
        </w:rPr>
        <w:t xml:space="preserve">Encadré 7.1 : Convergence des salaires </w:t>
      </w:r>
    </w:p>
    <w:tbl>
      <w:tblPr>
        <w:tblStyle w:val="Grilledutableau"/>
        <w:tblW w:w="0" w:type="auto"/>
        <w:tblLook w:val="04A0"/>
      </w:tblPr>
      <w:tblGrid>
        <w:gridCol w:w="1668"/>
        <w:gridCol w:w="1984"/>
        <w:gridCol w:w="2693"/>
        <w:gridCol w:w="2943"/>
      </w:tblGrid>
      <w:tr w:rsidR="00111B9E" w:rsidRPr="005A1646" w:rsidTr="00111B9E">
        <w:tc>
          <w:tcPr>
            <w:tcW w:w="1668" w:type="dxa"/>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p>
        </w:tc>
        <w:tc>
          <w:tcPr>
            <w:tcW w:w="2693" w:type="dxa"/>
          </w:tcPr>
          <w:p w:rsidR="00111B9E" w:rsidRPr="005A1646" w:rsidRDefault="00111B9E" w:rsidP="00111B9E">
            <w:pPr>
              <w:spacing w:line="360" w:lineRule="auto"/>
              <w:jc w:val="center"/>
              <w:rPr>
                <w:rFonts w:asciiTheme="majorHAnsi" w:hAnsiTheme="majorHAnsi"/>
                <w:sz w:val="24"/>
                <w:szCs w:val="24"/>
              </w:rPr>
            </w:pPr>
            <w:r w:rsidRPr="005A1646">
              <w:rPr>
                <w:rFonts w:asciiTheme="majorHAnsi" w:hAnsiTheme="majorHAnsi"/>
                <w:sz w:val="24"/>
                <w:szCs w:val="24"/>
              </w:rPr>
              <w:t>Salaire réel 1870</w:t>
            </w:r>
          </w:p>
        </w:tc>
        <w:tc>
          <w:tcPr>
            <w:tcW w:w="2943" w:type="dxa"/>
          </w:tcPr>
          <w:p w:rsidR="00111B9E" w:rsidRPr="005A1646" w:rsidRDefault="00111B9E" w:rsidP="00111B9E">
            <w:pPr>
              <w:spacing w:line="360" w:lineRule="auto"/>
              <w:jc w:val="center"/>
              <w:rPr>
                <w:rFonts w:asciiTheme="majorHAnsi" w:hAnsiTheme="majorHAnsi"/>
                <w:sz w:val="24"/>
                <w:szCs w:val="24"/>
              </w:rPr>
            </w:pPr>
            <w:r w:rsidRPr="005A1646">
              <w:rPr>
                <w:rFonts w:asciiTheme="majorHAnsi" w:hAnsiTheme="majorHAnsi"/>
                <w:sz w:val="24"/>
                <w:szCs w:val="24"/>
              </w:rPr>
              <w:t>Variation salaire réel (%) 1870- 1913</w:t>
            </w:r>
          </w:p>
        </w:tc>
      </w:tr>
      <w:tr w:rsidR="00111B9E" w:rsidRPr="005A1646" w:rsidTr="00111B9E">
        <w:tc>
          <w:tcPr>
            <w:tcW w:w="1668" w:type="dxa"/>
            <w:vMerge w:val="restart"/>
          </w:tcPr>
          <w:p w:rsidR="00111B9E" w:rsidRPr="005A1646" w:rsidRDefault="00111B9E" w:rsidP="00111B9E">
            <w:pPr>
              <w:spacing w:line="360" w:lineRule="auto"/>
              <w:rPr>
                <w:rFonts w:asciiTheme="majorHAnsi" w:hAnsiTheme="majorHAnsi"/>
                <w:sz w:val="24"/>
                <w:szCs w:val="24"/>
              </w:rPr>
            </w:pPr>
            <w:r w:rsidRPr="005A1646">
              <w:rPr>
                <w:rFonts w:asciiTheme="majorHAnsi" w:hAnsiTheme="majorHAnsi"/>
                <w:sz w:val="24"/>
                <w:szCs w:val="24"/>
              </w:rPr>
              <w:t>Pays de destination</w:t>
            </w: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Argentine</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53</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51</w:t>
            </w:r>
          </w:p>
        </w:tc>
      </w:tr>
      <w:tr w:rsidR="00111B9E" w:rsidRPr="005A1646" w:rsidTr="00111B9E">
        <w:tc>
          <w:tcPr>
            <w:tcW w:w="1668" w:type="dxa"/>
            <w:vMerge/>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Australie</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110</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1</w:t>
            </w:r>
          </w:p>
        </w:tc>
      </w:tr>
      <w:tr w:rsidR="00111B9E" w:rsidRPr="005A1646" w:rsidTr="00111B9E">
        <w:tc>
          <w:tcPr>
            <w:tcW w:w="1668" w:type="dxa"/>
            <w:vMerge/>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USA</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100</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47</w:t>
            </w:r>
          </w:p>
        </w:tc>
      </w:tr>
      <w:tr w:rsidR="00111B9E" w:rsidRPr="005A1646" w:rsidTr="00111B9E">
        <w:tc>
          <w:tcPr>
            <w:tcW w:w="1668" w:type="dxa"/>
            <w:vMerge w:val="restart"/>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Pays d’origine</w:t>
            </w: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 xml:space="preserve">Irlande </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43</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84</w:t>
            </w:r>
          </w:p>
        </w:tc>
      </w:tr>
      <w:tr w:rsidR="00111B9E" w:rsidRPr="005A1646" w:rsidTr="00111B9E">
        <w:tc>
          <w:tcPr>
            <w:tcW w:w="1668" w:type="dxa"/>
            <w:vMerge/>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Italie</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23</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112</w:t>
            </w:r>
          </w:p>
        </w:tc>
      </w:tr>
      <w:tr w:rsidR="00111B9E" w:rsidRPr="005A1646" w:rsidTr="00111B9E">
        <w:tc>
          <w:tcPr>
            <w:tcW w:w="1668" w:type="dxa"/>
            <w:vMerge/>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Norvège</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24</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193</w:t>
            </w:r>
          </w:p>
        </w:tc>
      </w:tr>
      <w:tr w:rsidR="00111B9E" w:rsidRPr="005A1646" w:rsidTr="00111B9E">
        <w:tc>
          <w:tcPr>
            <w:tcW w:w="1668" w:type="dxa"/>
            <w:vMerge/>
          </w:tcPr>
          <w:p w:rsidR="00111B9E" w:rsidRPr="005A1646" w:rsidRDefault="00111B9E" w:rsidP="00A8017E">
            <w:pPr>
              <w:spacing w:line="360" w:lineRule="auto"/>
              <w:jc w:val="both"/>
              <w:rPr>
                <w:rFonts w:asciiTheme="majorHAnsi" w:hAnsiTheme="majorHAnsi"/>
                <w:sz w:val="24"/>
                <w:szCs w:val="24"/>
              </w:rPr>
            </w:pPr>
          </w:p>
        </w:tc>
        <w:tc>
          <w:tcPr>
            <w:tcW w:w="1984"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Suède</w:t>
            </w:r>
          </w:p>
        </w:tc>
        <w:tc>
          <w:tcPr>
            <w:tcW w:w="269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24</w:t>
            </w:r>
          </w:p>
        </w:tc>
        <w:tc>
          <w:tcPr>
            <w:tcW w:w="2943" w:type="dxa"/>
          </w:tcPr>
          <w:p w:rsidR="00111B9E" w:rsidRPr="005A1646" w:rsidRDefault="00111B9E" w:rsidP="00A8017E">
            <w:pPr>
              <w:spacing w:line="360" w:lineRule="auto"/>
              <w:jc w:val="both"/>
              <w:rPr>
                <w:rFonts w:asciiTheme="majorHAnsi" w:hAnsiTheme="majorHAnsi"/>
                <w:sz w:val="24"/>
                <w:szCs w:val="24"/>
              </w:rPr>
            </w:pPr>
            <w:r w:rsidRPr="005A1646">
              <w:rPr>
                <w:rFonts w:asciiTheme="majorHAnsi" w:hAnsiTheme="majorHAnsi"/>
                <w:sz w:val="24"/>
                <w:szCs w:val="24"/>
              </w:rPr>
              <w:t>250</w:t>
            </w:r>
          </w:p>
        </w:tc>
      </w:tr>
    </w:tbl>
    <w:p w:rsidR="00111B9E" w:rsidRDefault="00111B9E" w:rsidP="00A8017E">
      <w:pPr>
        <w:spacing w:line="360" w:lineRule="auto"/>
        <w:jc w:val="both"/>
        <w:rPr>
          <w:rFonts w:asciiTheme="majorHAnsi" w:hAnsiTheme="majorHAnsi"/>
          <w:sz w:val="24"/>
          <w:szCs w:val="24"/>
        </w:rPr>
      </w:pPr>
    </w:p>
    <w:p w:rsidR="000F3C31" w:rsidRPr="005A1646" w:rsidRDefault="000F3C31" w:rsidP="00A8017E">
      <w:pPr>
        <w:spacing w:line="360" w:lineRule="auto"/>
        <w:jc w:val="both"/>
        <w:rPr>
          <w:rFonts w:asciiTheme="majorHAnsi" w:hAnsiTheme="majorHAnsi"/>
          <w:sz w:val="24"/>
          <w:szCs w:val="24"/>
        </w:rPr>
      </w:pPr>
    </w:p>
    <w:p w:rsidR="00A91105" w:rsidRPr="005A1646" w:rsidRDefault="00A91105" w:rsidP="003E620A">
      <w:pPr>
        <w:spacing w:line="360" w:lineRule="auto"/>
        <w:jc w:val="both"/>
        <w:rPr>
          <w:rFonts w:asciiTheme="majorHAnsi" w:hAnsiTheme="majorHAnsi"/>
          <w:b/>
          <w:bCs/>
          <w:sz w:val="24"/>
          <w:szCs w:val="24"/>
        </w:rPr>
      </w:pPr>
      <w:r w:rsidRPr="005A1646">
        <w:rPr>
          <w:rFonts w:asciiTheme="majorHAnsi" w:hAnsiTheme="majorHAnsi"/>
          <w:b/>
          <w:bCs/>
          <w:sz w:val="24"/>
          <w:szCs w:val="24"/>
        </w:rPr>
        <w:t xml:space="preserve">Encadré 7.2 : Les salaires des pays </w:t>
      </w:r>
      <w:r w:rsidR="003271F8" w:rsidRPr="005A1646">
        <w:rPr>
          <w:rFonts w:asciiTheme="majorHAnsi" w:hAnsiTheme="majorHAnsi"/>
          <w:b/>
          <w:bCs/>
          <w:sz w:val="24"/>
          <w:szCs w:val="24"/>
        </w:rPr>
        <w:t>développés</w:t>
      </w:r>
      <w:r w:rsidRPr="005A1646">
        <w:rPr>
          <w:rFonts w:asciiTheme="majorHAnsi" w:hAnsiTheme="majorHAnsi"/>
          <w:b/>
          <w:bCs/>
          <w:sz w:val="24"/>
          <w:szCs w:val="24"/>
        </w:rPr>
        <w:t xml:space="preserve"> doivent-ils redouter les flux de capitaux vers les pays </w:t>
      </w:r>
      <w:r w:rsidR="003271F8" w:rsidRPr="005A1646">
        <w:rPr>
          <w:rFonts w:asciiTheme="majorHAnsi" w:hAnsiTheme="majorHAnsi"/>
          <w:b/>
          <w:bCs/>
          <w:sz w:val="24"/>
          <w:szCs w:val="24"/>
        </w:rPr>
        <w:t>émergeants</w:t>
      </w:r>
      <w:r w:rsidRPr="005A1646">
        <w:rPr>
          <w:rFonts w:asciiTheme="majorHAnsi" w:hAnsiTheme="majorHAnsi"/>
          <w:b/>
          <w:bCs/>
          <w:sz w:val="24"/>
          <w:szCs w:val="24"/>
        </w:rPr>
        <w:t> ?</w:t>
      </w:r>
    </w:p>
    <w:p w:rsidR="00A91105" w:rsidRPr="005A1646" w:rsidRDefault="00A91105" w:rsidP="003E620A">
      <w:pPr>
        <w:spacing w:line="360" w:lineRule="auto"/>
        <w:jc w:val="both"/>
        <w:rPr>
          <w:rFonts w:asciiTheme="majorHAnsi" w:hAnsiTheme="majorHAnsi"/>
          <w:sz w:val="24"/>
          <w:szCs w:val="24"/>
        </w:rPr>
      </w:pPr>
      <w:r w:rsidRPr="005A1646">
        <w:rPr>
          <w:rFonts w:asciiTheme="majorHAnsi" w:hAnsiTheme="majorHAnsi"/>
          <w:sz w:val="24"/>
          <w:szCs w:val="24"/>
        </w:rPr>
        <w:t xml:space="preserve">Si les pays à hauts salaires financent l’investissement des pays à bas salaires, cela réduira l’épargne disponible dans les pays riches donc leurs capacités d’investissement. A terme, la </w:t>
      </w:r>
      <w:r w:rsidR="003271F8" w:rsidRPr="005A1646">
        <w:rPr>
          <w:rFonts w:asciiTheme="majorHAnsi" w:hAnsiTheme="majorHAnsi"/>
          <w:sz w:val="24"/>
          <w:szCs w:val="24"/>
        </w:rPr>
        <w:t>croissance</w:t>
      </w:r>
      <w:r w:rsidRPr="005A1646">
        <w:rPr>
          <w:rFonts w:asciiTheme="majorHAnsi" w:hAnsiTheme="majorHAnsi"/>
          <w:sz w:val="24"/>
          <w:szCs w:val="24"/>
        </w:rPr>
        <w:t xml:space="preserve"> du stock de capital par travailleur doit ralentir dans les pays </w:t>
      </w:r>
      <w:r w:rsidR="003271F8" w:rsidRPr="005A1646">
        <w:rPr>
          <w:rFonts w:asciiTheme="majorHAnsi" w:hAnsiTheme="majorHAnsi"/>
          <w:sz w:val="24"/>
          <w:szCs w:val="24"/>
        </w:rPr>
        <w:t>développés</w:t>
      </w:r>
      <w:r w:rsidRPr="005A1646">
        <w:rPr>
          <w:rFonts w:asciiTheme="majorHAnsi" w:hAnsiTheme="majorHAnsi"/>
          <w:sz w:val="24"/>
          <w:szCs w:val="24"/>
        </w:rPr>
        <w:t xml:space="preserve"> et la progression du produit marginal du travail doit </w:t>
      </w:r>
      <w:r w:rsidR="003271F8" w:rsidRPr="005A1646">
        <w:rPr>
          <w:rFonts w:asciiTheme="majorHAnsi" w:hAnsiTheme="majorHAnsi"/>
          <w:sz w:val="24"/>
          <w:szCs w:val="24"/>
        </w:rPr>
        <w:t>être</w:t>
      </w:r>
      <w:r w:rsidRPr="005A1646">
        <w:rPr>
          <w:rFonts w:asciiTheme="majorHAnsi" w:hAnsiTheme="majorHAnsi"/>
          <w:sz w:val="24"/>
          <w:szCs w:val="24"/>
        </w:rPr>
        <w:t xml:space="preserve"> de plus en plus limitée. Les agents qui ont investi dans les pays émergeants </w:t>
      </w:r>
      <w:r w:rsidR="003271F8" w:rsidRPr="005A1646">
        <w:rPr>
          <w:rFonts w:asciiTheme="majorHAnsi" w:hAnsiTheme="majorHAnsi"/>
          <w:sz w:val="24"/>
          <w:szCs w:val="24"/>
        </w:rPr>
        <w:t>reçoivent</w:t>
      </w:r>
      <w:r w:rsidRPr="005A1646">
        <w:rPr>
          <w:rFonts w:asciiTheme="majorHAnsi" w:hAnsiTheme="majorHAnsi"/>
          <w:sz w:val="24"/>
          <w:szCs w:val="24"/>
        </w:rPr>
        <w:t xml:space="preserve"> des revenus supplémentaires, mais la plupart de ces gains iront alors aux détenteurs de capital, laissant les travailleurs dans une situation délicate.</w:t>
      </w:r>
    </w:p>
    <w:p w:rsidR="003E620A" w:rsidRPr="005A1646" w:rsidRDefault="00A91105" w:rsidP="003271F8">
      <w:pPr>
        <w:spacing w:line="360" w:lineRule="auto"/>
        <w:jc w:val="both"/>
        <w:rPr>
          <w:rFonts w:asciiTheme="majorHAnsi" w:hAnsiTheme="majorHAnsi"/>
          <w:sz w:val="24"/>
          <w:szCs w:val="24"/>
        </w:rPr>
      </w:pPr>
      <w:r w:rsidRPr="005A1646">
        <w:rPr>
          <w:rFonts w:asciiTheme="majorHAnsi" w:hAnsiTheme="majorHAnsi"/>
          <w:sz w:val="24"/>
          <w:szCs w:val="24"/>
        </w:rPr>
        <w:t xml:space="preserve">En 1990, les pays en développement ont </w:t>
      </w:r>
      <w:r w:rsidR="003271F8" w:rsidRPr="005A1646">
        <w:rPr>
          <w:rFonts w:asciiTheme="majorHAnsi" w:hAnsiTheme="majorHAnsi"/>
          <w:sz w:val="24"/>
          <w:szCs w:val="24"/>
        </w:rPr>
        <w:t>accueilli</w:t>
      </w:r>
      <w:r w:rsidRPr="005A1646">
        <w:rPr>
          <w:rFonts w:asciiTheme="majorHAnsi" w:hAnsiTheme="majorHAnsi"/>
          <w:sz w:val="24"/>
          <w:szCs w:val="24"/>
        </w:rPr>
        <w:t xml:space="preserve"> des flux de capitaux en provenance des pays développés (Figure 7.5). </w:t>
      </w:r>
      <w:r w:rsidR="003271F8" w:rsidRPr="005A1646">
        <w:rPr>
          <w:rFonts w:asciiTheme="majorHAnsi" w:hAnsiTheme="majorHAnsi"/>
          <w:sz w:val="24"/>
          <w:szCs w:val="24"/>
        </w:rPr>
        <w:t>Mais</w:t>
      </w:r>
      <w:r w:rsidRPr="005A1646">
        <w:rPr>
          <w:rFonts w:asciiTheme="majorHAnsi" w:hAnsiTheme="majorHAnsi"/>
          <w:sz w:val="24"/>
          <w:szCs w:val="24"/>
        </w:rPr>
        <w:t xml:space="preserve"> ces flux </w:t>
      </w:r>
      <w:r w:rsidR="00287D8B" w:rsidRPr="005A1646">
        <w:rPr>
          <w:rFonts w:asciiTheme="majorHAnsi" w:hAnsiTheme="majorHAnsi"/>
          <w:sz w:val="24"/>
          <w:szCs w:val="24"/>
        </w:rPr>
        <w:t xml:space="preserve">n’ont jamais représenté qu’une proportion </w:t>
      </w:r>
      <w:r w:rsidR="003271F8" w:rsidRPr="005A1646">
        <w:rPr>
          <w:rFonts w:asciiTheme="majorHAnsi" w:hAnsiTheme="majorHAnsi"/>
          <w:sz w:val="24"/>
          <w:szCs w:val="24"/>
        </w:rPr>
        <w:t>très</w:t>
      </w:r>
      <w:r w:rsidR="00287D8B" w:rsidRPr="005A1646">
        <w:rPr>
          <w:rFonts w:asciiTheme="majorHAnsi" w:hAnsiTheme="majorHAnsi"/>
          <w:sz w:val="24"/>
          <w:szCs w:val="24"/>
        </w:rPr>
        <w:t xml:space="preserve"> fiable du PIB des pays du Nord</w:t>
      </w:r>
    </w:p>
    <w:p w:rsidR="00287D8B" w:rsidRPr="005A1646" w:rsidRDefault="00287D8B" w:rsidP="003271F8">
      <w:pPr>
        <w:spacing w:line="360" w:lineRule="auto"/>
        <w:jc w:val="both"/>
        <w:rPr>
          <w:rFonts w:asciiTheme="majorHAnsi" w:hAnsiTheme="majorHAnsi"/>
          <w:sz w:val="24"/>
          <w:szCs w:val="24"/>
        </w:rPr>
      </w:pPr>
      <w:r w:rsidRPr="005A1646">
        <w:rPr>
          <w:rFonts w:asciiTheme="majorHAnsi" w:hAnsiTheme="majorHAnsi"/>
          <w:sz w:val="24"/>
          <w:szCs w:val="24"/>
        </w:rPr>
        <w:t xml:space="preserve">Dès 1999, le sens des flux de capitaux s’est inversé. Ce détournement subit est largement dû aux échanges entre la Chine et les USA. </w:t>
      </w:r>
    </w:p>
    <w:p w:rsidR="00AD76AF" w:rsidRPr="005A1646" w:rsidRDefault="00AD76AF" w:rsidP="00AD76AF">
      <w:pPr>
        <w:spacing w:line="360" w:lineRule="auto"/>
        <w:jc w:val="both"/>
        <w:rPr>
          <w:rFonts w:asciiTheme="majorHAnsi" w:hAnsiTheme="majorHAnsi"/>
          <w:sz w:val="24"/>
          <w:szCs w:val="24"/>
          <w:u w:val="single"/>
        </w:rPr>
      </w:pPr>
    </w:p>
    <w:p w:rsidR="00941D2C" w:rsidRPr="005A1646" w:rsidRDefault="00941D2C" w:rsidP="00AD76AF">
      <w:pPr>
        <w:spacing w:line="360" w:lineRule="auto"/>
        <w:jc w:val="both"/>
        <w:rPr>
          <w:rFonts w:asciiTheme="majorHAnsi" w:hAnsiTheme="majorHAnsi"/>
          <w:sz w:val="24"/>
          <w:szCs w:val="24"/>
          <w:u w:val="single"/>
        </w:rPr>
      </w:pPr>
    </w:p>
    <w:p w:rsidR="000F3C31" w:rsidRPr="005A1646" w:rsidRDefault="000F3C31" w:rsidP="00AD76AF">
      <w:pPr>
        <w:spacing w:line="360" w:lineRule="auto"/>
        <w:jc w:val="both"/>
        <w:rPr>
          <w:rFonts w:asciiTheme="majorHAnsi" w:hAnsiTheme="majorHAnsi"/>
          <w:sz w:val="24"/>
          <w:szCs w:val="24"/>
          <w:u w:val="single"/>
        </w:rPr>
      </w:pPr>
    </w:p>
    <w:p w:rsidR="00941D2C" w:rsidRPr="005A1646" w:rsidRDefault="00941D2C" w:rsidP="00AD76AF">
      <w:pPr>
        <w:spacing w:line="360" w:lineRule="auto"/>
        <w:jc w:val="both"/>
        <w:rPr>
          <w:rFonts w:asciiTheme="majorHAnsi" w:hAnsiTheme="majorHAnsi"/>
          <w:b/>
          <w:bCs/>
          <w:sz w:val="24"/>
          <w:szCs w:val="24"/>
        </w:rPr>
      </w:pPr>
      <w:r w:rsidRPr="005A1646">
        <w:rPr>
          <w:rFonts w:asciiTheme="majorHAnsi" w:hAnsiTheme="majorHAnsi"/>
          <w:b/>
          <w:bCs/>
          <w:sz w:val="24"/>
          <w:szCs w:val="24"/>
        </w:rPr>
        <w:lastRenderedPageBreak/>
        <w:t>Encadré 7.3 : Délocalisation</w:t>
      </w:r>
    </w:p>
    <w:p w:rsidR="00941D2C" w:rsidRPr="005A1646" w:rsidRDefault="00941D2C" w:rsidP="00941D2C">
      <w:pPr>
        <w:spacing w:line="360" w:lineRule="auto"/>
        <w:jc w:val="both"/>
        <w:rPr>
          <w:rFonts w:asciiTheme="majorHAnsi" w:hAnsiTheme="majorHAnsi"/>
          <w:sz w:val="24"/>
          <w:szCs w:val="24"/>
        </w:rPr>
      </w:pPr>
      <w:r w:rsidRPr="005A1646">
        <w:rPr>
          <w:rFonts w:asciiTheme="majorHAnsi" w:hAnsiTheme="majorHAnsi"/>
          <w:sz w:val="24"/>
          <w:szCs w:val="24"/>
        </w:rPr>
        <w:t>La délocalisation entraine une diminution de l’emploi surtout dans les pays en autarcie ou qui refuse la mobilité des travailleurs. Elle crée une concurrence indirecte entre les pays  et les travailleurs des différents pays.</w:t>
      </w:r>
    </w:p>
    <w:p w:rsidR="00941D2C" w:rsidRPr="005A1646" w:rsidRDefault="00941D2C" w:rsidP="00941D2C">
      <w:pPr>
        <w:spacing w:line="360" w:lineRule="auto"/>
        <w:jc w:val="both"/>
        <w:rPr>
          <w:rFonts w:asciiTheme="majorHAnsi" w:hAnsiTheme="majorHAnsi"/>
          <w:sz w:val="24"/>
          <w:szCs w:val="24"/>
        </w:rPr>
      </w:pPr>
      <w:r w:rsidRPr="005A1646">
        <w:rPr>
          <w:rFonts w:asciiTheme="majorHAnsi" w:hAnsiTheme="majorHAnsi"/>
          <w:sz w:val="24"/>
          <w:szCs w:val="24"/>
        </w:rPr>
        <w:t>Mais, la délocalisation ne porte que sur une parti de l’activité ainsi elle assure le maintien d’un nombre certain d’emploi et ce en changeant la structure des travailleurs au dépens des travailleurs les moins qualifiés</w:t>
      </w:r>
    </w:p>
    <w:p w:rsidR="00941D2C" w:rsidRPr="005A1646" w:rsidRDefault="00941D2C" w:rsidP="00941D2C">
      <w:pPr>
        <w:spacing w:line="360" w:lineRule="auto"/>
        <w:jc w:val="both"/>
        <w:rPr>
          <w:rFonts w:asciiTheme="majorHAnsi" w:hAnsiTheme="majorHAnsi"/>
          <w:sz w:val="24"/>
          <w:szCs w:val="24"/>
        </w:rPr>
      </w:pPr>
    </w:p>
    <w:p w:rsidR="00694973" w:rsidRPr="005A1646" w:rsidRDefault="00694973" w:rsidP="00941D2C">
      <w:pPr>
        <w:spacing w:line="360" w:lineRule="auto"/>
        <w:jc w:val="both"/>
        <w:rPr>
          <w:rFonts w:asciiTheme="majorHAnsi" w:hAnsiTheme="majorHAnsi"/>
          <w:b/>
          <w:bCs/>
          <w:sz w:val="24"/>
          <w:szCs w:val="24"/>
        </w:rPr>
      </w:pPr>
      <w:r w:rsidRPr="005A1646">
        <w:rPr>
          <w:rFonts w:asciiTheme="majorHAnsi" w:hAnsiTheme="majorHAnsi"/>
          <w:b/>
          <w:bCs/>
          <w:sz w:val="24"/>
          <w:szCs w:val="24"/>
        </w:rPr>
        <w:t>Encadré 7.4 : Fusions-acquisitions transnationales (cas Daimler-Chrysler)</w:t>
      </w:r>
    </w:p>
    <w:p w:rsidR="00694973" w:rsidRPr="005A1646" w:rsidRDefault="00694973" w:rsidP="00941D2C">
      <w:pPr>
        <w:spacing w:line="360" w:lineRule="auto"/>
        <w:jc w:val="both"/>
        <w:rPr>
          <w:rFonts w:asciiTheme="majorHAnsi" w:hAnsiTheme="majorHAnsi"/>
          <w:sz w:val="24"/>
          <w:szCs w:val="24"/>
        </w:rPr>
      </w:pPr>
      <w:r w:rsidRPr="005A1646">
        <w:rPr>
          <w:rFonts w:asciiTheme="majorHAnsi" w:hAnsiTheme="majorHAnsi"/>
          <w:sz w:val="24"/>
          <w:szCs w:val="24"/>
        </w:rPr>
        <w:t>Le but de la fusion-</w:t>
      </w:r>
      <w:r w:rsidR="005A1646" w:rsidRPr="005A1646">
        <w:rPr>
          <w:rFonts w:asciiTheme="majorHAnsi" w:hAnsiTheme="majorHAnsi"/>
          <w:sz w:val="24"/>
          <w:szCs w:val="24"/>
        </w:rPr>
        <w:t>acquisition</w:t>
      </w:r>
      <w:r w:rsidRPr="005A1646">
        <w:rPr>
          <w:rFonts w:asciiTheme="majorHAnsi" w:hAnsiTheme="majorHAnsi"/>
          <w:sz w:val="24"/>
          <w:szCs w:val="24"/>
        </w:rPr>
        <w:t xml:space="preserve"> : Partage des </w:t>
      </w:r>
      <w:r w:rsidR="005A1646" w:rsidRPr="005A1646">
        <w:rPr>
          <w:rFonts w:asciiTheme="majorHAnsi" w:hAnsiTheme="majorHAnsi"/>
          <w:sz w:val="24"/>
          <w:szCs w:val="24"/>
        </w:rPr>
        <w:t>connaissances</w:t>
      </w:r>
      <w:r w:rsidRPr="005A1646">
        <w:rPr>
          <w:rFonts w:asciiTheme="majorHAnsi" w:hAnsiTheme="majorHAnsi"/>
          <w:sz w:val="24"/>
          <w:szCs w:val="24"/>
        </w:rPr>
        <w:t xml:space="preserve"> et mise en commun des </w:t>
      </w:r>
      <w:r w:rsidR="005A1646" w:rsidRPr="005A1646">
        <w:rPr>
          <w:rFonts w:asciiTheme="majorHAnsi" w:hAnsiTheme="majorHAnsi"/>
          <w:sz w:val="24"/>
          <w:szCs w:val="24"/>
        </w:rPr>
        <w:t>activités</w:t>
      </w:r>
      <w:r w:rsidRPr="005A1646">
        <w:rPr>
          <w:rFonts w:asciiTheme="majorHAnsi" w:hAnsiTheme="majorHAnsi"/>
          <w:sz w:val="24"/>
          <w:szCs w:val="24"/>
        </w:rPr>
        <w:t>.</w:t>
      </w:r>
    </w:p>
    <w:p w:rsidR="00694973" w:rsidRPr="005A1646" w:rsidRDefault="00694973" w:rsidP="00941D2C">
      <w:pPr>
        <w:spacing w:line="360" w:lineRule="auto"/>
        <w:jc w:val="both"/>
        <w:rPr>
          <w:rFonts w:asciiTheme="majorHAnsi" w:hAnsiTheme="majorHAnsi"/>
          <w:sz w:val="24"/>
          <w:szCs w:val="24"/>
        </w:rPr>
      </w:pPr>
      <w:r w:rsidRPr="005A1646">
        <w:rPr>
          <w:rFonts w:asciiTheme="majorHAnsi" w:hAnsiTheme="majorHAnsi"/>
          <w:sz w:val="24"/>
          <w:szCs w:val="24"/>
        </w:rPr>
        <w:t xml:space="preserve">Mais, </w:t>
      </w:r>
      <w:r w:rsidR="0001408A" w:rsidRPr="005A1646">
        <w:rPr>
          <w:rFonts w:asciiTheme="majorHAnsi" w:hAnsiTheme="majorHAnsi"/>
          <w:sz w:val="24"/>
          <w:szCs w:val="24"/>
        </w:rPr>
        <w:t>ce n’est</w:t>
      </w:r>
      <w:r w:rsidRPr="005A1646">
        <w:rPr>
          <w:rFonts w:asciiTheme="majorHAnsi" w:hAnsiTheme="majorHAnsi"/>
          <w:sz w:val="24"/>
          <w:szCs w:val="24"/>
        </w:rPr>
        <w:t xml:space="preserve"> pas toujours bénéfique </w:t>
      </w:r>
      <w:r w:rsidR="005A1646" w:rsidRPr="005A1646">
        <w:rPr>
          <w:rFonts w:asciiTheme="majorHAnsi" w:hAnsiTheme="majorHAnsi"/>
          <w:sz w:val="24"/>
          <w:szCs w:val="24"/>
        </w:rPr>
        <w:t xml:space="preserve">(culture différente, stratégie différente, licenciement et démission des cadres, conflits...Etc.) </w:t>
      </w:r>
      <w:r w:rsidR="005A1646" w:rsidRPr="005A1646">
        <w:rPr>
          <w:rFonts w:asciiTheme="majorHAnsi" w:hAnsiTheme="majorHAnsi"/>
          <w:sz w:val="24"/>
          <w:szCs w:val="24"/>
        </w:rPr>
        <w:sym w:font="Wingdings" w:char="F0E8"/>
      </w:r>
      <w:r w:rsidR="005A1646" w:rsidRPr="005A1646">
        <w:rPr>
          <w:rFonts w:asciiTheme="majorHAnsi" w:hAnsiTheme="majorHAnsi"/>
          <w:sz w:val="24"/>
          <w:szCs w:val="24"/>
        </w:rPr>
        <w:t xml:space="preserve"> Diminution du bénéfice et de la valeur des actions.</w:t>
      </w:r>
    </w:p>
    <w:p w:rsidR="00694973" w:rsidRPr="00941D2C" w:rsidRDefault="00694973" w:rsidP="00941D2C">
      <w:pPr>
        <w:spacing w:line="360" w:lineRule="auto"/>
        <w:jc w:val="both"/>
        <w:rPr>
          <w:sz w:val="24"/>
          <w:szCs w:val="24"/>
        </w:rPr>
      </w:pPr>
    </w:p>
    <w:sectPr w:rsidR="00694973" w:rsidRPr="00941D2C" w:rsidSect="006501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029" w:rsidRDefault="00E71029" w:rsidP="00E05FC6">
      <w:pPr>
        <w:spacing w:after="0" w:line="240" w:lineRule="auto"/>
      </w:pPr>
      <w:r>
        <w:separator/>
      </w:r>
    </w:p>
  </w:endnote>
  <w:endnote w:type="continuationSeparator" w:id="1">
    <w:p w:rsidR="00E71029" w:rsidRDefault="00E71029" w:rsidP="00E05F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9610"/>
      <w:docPartObj>
        <w:docPartGallery w:val="Page Numbers (Bottom of Page)"/>
        <w:docPartUnique/>
      </w:docPartObj>
    </w:sdtPr>
    <w:sdtContent>
      <w:p w:rsidR="00D80A68" w:rsidRDefault="00650153">
        <w:pPr>
          <w:pStyle w:val="Pieddepage"/>
          <w:jc w:val="right"/>
        </w:pPr>
        <w:fldSimple w:instr=" PAGE   \* MERGEFORMAT ">
          <w:r w:rsidR="00CB311F">
            <w:rPr>
              <w:noProof/>
            </w:rPr>
            <w:t>1</w:t>
          </w:r>
        </w:fldSimple>
      </w:p>
    </w:sdtContent>
  </w:sdt>
  <w:p w:rsidR="00D80A68" w:rsidRDefault="00D80A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029" w:rsidRDefault="00E71029" w:rsidP="00E05FC6">
      <w:pPr>
        <w:spacing w:after="0" w:line="240" w:lineRule="auto"/>
      </w:pPr>
      <w:r>
        <w:separator/>
      </w:r>
    </w:p>
  </w:footnote>
  <w:footnote w:type="continuationSeparator" w:id="1">
    <w:p w:rsidR="00E71029" w:rsidRDefault="00E71029" w:rsidP="00E05F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A68" w:rsidRPr="005A1646" w:rsidRDefault="00D80A68" w:rsidP="00E05FC6">
    <w:pPr>
      <w:pStyle w:val="En-tte"/>
      <w:jc w:val="center"/>
      <w:rPr>
        <w:rFonts w:asciiTheme="majorHAnsi" w:hAnsiTheme="majorHAnsi"/>
        <w:b/>
        <w:bCs/>
        <w:sz w:val="32"/>
        <w:szCs w:val="32"/>
      </w:rPr>
    </w:pPr>
    <w:r w:rsidRPr="005A1646">
      <w:rPr>
        <w:rFonts w:asciiTheme="majorHAnsi" w:hAnsiTheme="majorHAnsi"/>
        <w:b/>
        <w:bCs/>
        <w:sz w:val="32"/>
        <w:szCs w:val="32"/>
      </w:rPr>
      <w:t>Chapitre 7 : Les mouvements internationaux de facteurs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5242"/>
    <w:multiLevelType w:val="hybridMultilevel"/>
    <w:tmpl w:val="0436F58E"/>
    <w:lvl w:ilvl="0" w:tplc="5852A41A">
      <w:start w:val="3"/>
      <w:numFmt w:val="bullet"/>
      <w:lvlText w:val="-"/>
      <w:lvlJc w:val="left"/>
      <w:pPr>
        <w:ind w:left="360" w:hanging="360"/>
      </w:pPr>
      <w:rPr>
        <w:rFonts w:ascii="Calibri" w:eastAsiaTheme="minorEastAsia"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EDE6289"/>
    <w:multiLevelType w:val="hybridMultilevel"/>
    <w:tmpl w:val="86168B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1"/>
  <w:defaultTabStop w:val="708"/>
  <w:hyphenationZone w:val="425"/>
  <w:characterSpacingControl w:val="doNotCompress"/>
  <w:footnotePr>
    <w:footnote w:id="0"/>
    <w:footnote w:id="1"/>
  </w:footnotePr>
  <w:endnotePr>
    <w:endnote w:id="0"/>
    <w:endnote w:id="1"/>
  </w:endnotePr>
  <w:compat>
    <w:useFELayout/>
  </w:compat>
  <w:rsids>
    <w:rsidRoot w:val="00E05FC6"/>
    <w:rsid w:val="0001408A"/>
    <w:rsid w:val="000F3C31"/>
    <w:rsid w:val="00111B9E"/>
    <w:rsid w:val="001476D9"/>
    <w:rsid w:val="001A5004"/>
    <w:rsid w:val="001E25C4"/>
    <w:rsid w:val="0026421F"/>
    <w:rsid w:val="00287D8B"/>
    <w:rsid w:val="003271F8"/>
    <w:rsid w:val="0033426B"/>
    <w:rsid w:val="003A3E4E"/>
    <w:rsid w:val="003E620A"/>
    <w:rsid w:val="005A1646"/>
    <w:rsid w:val="005E6739"/>
    <w:rsid w:val="006403C7"/>
    <w:rsid w:val="00650153"/>
    <w:rsid w:val="00694973"/>
    <w:rsid w:val="007B0C17"/>
    <w:rsid w:val="008D04D5"/>
    <w:rsid w:val="00941D2C"/>
    <w:rsid w:val="009653B2"/>
    <w:rsid w:val="009B6C74"/>
    <w:rsid w:val="00A8017E"/>
    <w:rsid w:val="00A91105"/>
    <w:rsid w:val="00A9699F"/>
    <w:rsid w:val="00AD0B14"/>
    <w:rsid w:val="00AD76AF"/>
    <w:rsid w:val="00CB2FF7"/>
    <w:rsid w:val="00CB311F"/>
    <w:rsid w:val="00D30B51"/>
    <w:rsid w:val="00D80A68"/>
    <w:rsid w:val="00E05FC6"/>
    <w:rsid w:val="00E32A87"/>
    <w:rsid w:val="00E46B89"/>
    <w:rsid w:val="00E71029"/>
    <w:rsid w:val="00F1560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1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05FC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5FC6"/>
  </w:style>
  <w:style w:type="paragraph" w:styleId="Pieddepage">
    <w:name w:val="footer"/>
    <w:basedOn w:val="Normal"/>
    <w:link w:val="PieddepageCar"/>
    <w:uiPriority w:val="99"/>
    <w:unhideWhenUsed/>
    <w:rsid w:val="00E05F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05FC6"/>
  </w:style>
  <w:style w:type="paragraph" w:styleId="Paragraphedeliste">
    <w:name w:val="List Paragraph"/>
    <w:basedOn w:val="Normal"/>
    <w:uiPriority w:val="34"/>
    <w:qFormat/>
    <w:rsid w:val="00E05FC6"/>
    <w:pPr>
      <w:ind w:left="720"/>
      <w:contextualSpacing/>
    </w:pPr>
  </w:style>
  <w:style w:type="table" w:styleId="Grilledutableau">
    <w:name w:val="Table Grid"/>
    <w:basedOn w:val="TableauNormal"/>
    <w:uiPriority w:val="59"/>
    <w:rsid w:val="00111B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ZIED</dc:creator>
  <cp:keywords/>
  <dc:description/>
  <cp:lastModifiedBy>ZIED</cp:lastModifiedBy>
  <cp:revision>22</cp:revision>
  <dcterms:created xsi:type="dcterms:W3CDTF">2013-05-03T18:35:00Z</dcterms:created>
  <dcterms:modified xsi:type="dcterms:W3CDTF">2013-05-03T22:00:00Z</dcterms:modified>
</cp:coreProperties>
</file>