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F6" w:rsidRDefault="00A97080" w:rsidP="001A73F6">
      <w:r>
        <w:t>Hicks</w:t>
      </w:r>
    </w:p>
    <w:tbl>
      <w:tblPr>
        <w:tblStyle w:val="Grilledutableau"/>
        <w:tblW w:w="0" w:type="auto"/>
        <w:tblLook w:val="04A0"/>
      </w:tblPr>
      <w:tblGrid>
        <w:gridCol w:w="3070"/>
        <w:gridCol w:w="3071"/>
        <w:gridCol w:w="3071"/>
      </w:tblGrid>
      <w:tr w:rsidR="001A73F6" w:rsidTr="001A73F6">
        <w:tc>
          <w:tcPr>
            <w:tcW w:w="3070" w:type="dxa"/>
          </w:tcPr>
          <w:p w:rsidR="001A73F6" w:rsidRDefault="001A73F6" w:rsidP="001A73F6"/>
        </w:tc>
        <w:tc>
          <w:tcPr>
            <w:tcW w:w="3071" w:type="dxa"/>
          </w:tcPr>
          <w:p w:rsidR="001A73F6" w:rsidRDefault="001A73F6" w:rsidP="001A73F6">
            <w:r>
              <w:t>Economie de marché</w:t>
            </w:r>
          </w:p>
        </w:tc>
        <w:tc>
          <w:tcPr>
            <w:tcW w:w="3071" w:type="dxa"/>
          </w:tcPr>
          <w:p w:rsidR="001A73F6" w:rsidRDefault="001A73F6" w:rsidP="001A73F6">
            <w:r>
              <w:t>Economie d’endettement</w:t>
            </w:r>
          </w:p>
        </w:tc>
      </w:tr>
      <w:tr w:rsidR="001A73F6" w:rsidTr="001A73F6">
        <w:tc>
          <w:tcPr>
            <w:tcW w:w="3070" w:type="dxa"/>
          </w:tcPr>
          <w:p w:rsidR="001A73F6" w:rsidRDefault="001A73F6" w:rsidP="001A73F6">
            <w:r>
              <w:t xml:space="preserve">Financement  </w:t>
            </w:r>
          </w:p>
        </w:tc>
        <w:tc>
          <w:tcPr>
            <w:tcW w:w="3071" w:type="dxa"/>
          </w:tcPr>
          <w:p w:rsidR="001A73F6" w:rsidRDefault="001A73F6" w:rsidP="001A73F6">
            <w:r>
              <w:t xml:space="preserve">Directe : </w:t>
            </w:r>
            <w:r w:rsidR="00A97080">
              <w:t>marché</w:t>
            </w:r>
            <w:r>
              <w:t xml:space="preserve"> de capitaux</w:t>
            </w:r>
          </w:p>
        </w:tc>
        <w:tc>
          <w:tcPr>
            <w:tcW w:w="3071" w:type="dxa"/>
          </w:tcPr>
          <w:p w:rsidR="001A73F6" w:rsidRDefault="001A73F6" w:rsidP="001A73F6">
            <w:r>
              <w:t xml:space="preserve">indirecte </w:t>
            </w:r>
          </w:p>
        </w:tc>
      </w:tr>
      <w:tr w:rsidR="001A73F6" w:rsidTr="001A73F6">
        <w:tc>
          <w:tcPr>
            <w:tcW w:w="3070" w:type="dxa"/>
          </w:tcPr>
          <w:p w:rsidR="001A73F6" w:rsidRDefault="001A73F6" w:rsidP="001A73F6">
            <w:r>
              <w:t>Taux d’</w:t>
            </w:r>
            <w:r w:rsidR="00141178">
              <w:t>intérêt</w:t>
            </w:r>
          </w:p>
        </w:tc>
        <w:tc>
          <w:tcPr>
            <w:tcW w:w="3071" w:type="dxa"/>
          </w:tcPr>
          <w:p w:rsidR="001A73F6" w:rsidRDefault="001A73F6" w:rsidP="001A73F6">
            <w:r>
              <w:t xml:space="preserve">Flexible déterminé par le marché </w:t>
            </w:r>
          </w:p>
        </w:tc>
        <w:tc>
          <w:tcPr>
            <w:tcW w:w="3071" w:type="dxa"/>
          </w:tcPr>
          <w:p w:rsidR="001A73F6" w:rsidRDefault="001A73F6" w:rsidP="001A73F6">
            <w:r>
              <w:t xml:space="preserve">Presque fixe </w:t>
            </w:r>
            <w:r w:rsidR="00141178">
              <w:t>déterminé</w:t>
            </w:r>
            <w:r>
              <w:t xml:space="preserve"> par  BC</w:t>
            </w:r>
          </w:p>
        </w:tc>
      </w:tr>
      <w:tr w:rsidR="001A73F6" w:rsidTr="001A73F6">
        <w:tc>
          <w:tcPr>
            <w:tcW w:w="3070" w:type="dxa"/>
          </w:tcPr>
          <w:p w:rsidR="001A73F6" w:rsidRDefault="008C7920" w:rsidP="001A73F6">
            <w:r>
              <w:t>P</w:t>
            </w:r>
            <w:r w:rsidR="001A73F6">
              <w:t>rédominant</w:t>
            </w:r>
            <w:r>
              <w:t xml:space="preserve"> </w:t>
            </w:r>
          </w:p>
        </w:tc>
        <w:tc>
          <w:tcPr>
            <w:tcW w:w="3071" w:type="dxa"/>
          </w:tcPr>
          <w:p w:rsidR="001A73F6" w:rsidRDefault="001A73F6" w:rsidP="001A73F6">
            <w:r>
              <w:t>USA</w:t>
            </w:r>
          </w:p>
        </w:tc>
        <w:tc>
          <w:tcPr>
            <w:tcW w:w="3071" w:type="dxa"/>
          </w:tcPr>
          <w:p w:rsidR="001A73F6" w:rsidRDefault="001A73F6" w:rsidP="001A73F6">
            <w:r>
              <w:t>Europe</w:t>
            </w:r>
          </w:p>
        </w:tc>
      </w:tr>
      <w:tr w:rsidR="001A73F6" w:rsidTr="001A73F6">
        <w:tc>
          <w:tcPr>
            <w:tcW w:w="3070" w:type="dxa"/>
          </w:tcPr>
          <w:p w:rsidR="001A73F6" w:rsidRDefault="00141178" w:rsidP="001A73F6">
            <w:r>
              <w:t>Rôle</w:t>
            </w:r>
            <w:r w:rsidR="001B5BC4">
              <w:t xml:space="preserve"> de la BC</w:t>
            </w:r>
          </w:p>
        </w:tc>
        <w:tc>
          <w:tcPr>
            <w:tcW w:w="3071" w:type="dxa"/>
          </w:tcPr>
          <w:p w:rsidR="004431C8" w:rsidRDefault="001B5BC4" w:rsidP="004431C8">
            <w:r>
              <w:t xml:space="preserve">Régulation monétaire (Open Market) : </w:t>
            </w:r>
            <w:r w:rsidR="00141178">
              <w:t>vendre</w:t>
            </w:r>
            <w:r>
              <w:t xml:space="preserve"> et acheter des titres pour réguler</w:t>
            </w:r>
            <w:r w:rsidR="004431C8">
              <w:t xml:space="preserve"> la liquidité du marché</w:t>
            </w:r>
          </w:p>
        </w:tc>
        <w:tc>
          <w:tcPr>
            <w:tcW w:w="3071" w:type="dxa"/>
          </w:tcPr>
          <w:p w:rsidR="001A73F6" w:rsidRDefault="004431C8" w:rsidP="00A97080">
            <w:r>
              <w:t>L</w:t>
            </w:r>
            <w:r w:rsidRPr="004431C8">
              <w:t>es</w:t>
            </w:r>
            <w:r>
              <w:t xml:space="preserve"> </w:t>
            </w:r>
            <w:r w:rsidRPr="004431C8">
              <w:t xml:space="preserve"> entreprises sont </w:t>
            </w:r>
            <w:r w:rsidR="00A97080">
              <w:t xml:space="preserve"> </w:t>
            </w:r>
            <w:r w:rsidRPr="004431C8">
              <w:t>endettées auprès des banques qui se refinancent auprès de la Banque centrale.</w:t>
            </w:r>
          </w:p>
        </w:tc>
      </w:tr>
    </w:tbl>
    <w:p w:rsidR="001A73F6" w:rsidRDefault="001A73F6" w:rsidP="001A73F6"/>
    <w:p w:rsidR="00A97080" w:rsidRDefault="00A97080" w:rsidP="001A73F6">
      <w:r>
        <w:t>Open market : Ce marché est constitué par les achats et les ventes de fonds d'État et d'effets de commerce accomplis par les banques centrales, en vue de compléter et d'étendre leur action sur le marché monétaire et sur la liquidité du circuit bancaire.</w:t>
      </w:r>
    </w:p>
    <w:sectPr w:rsidR="00A97080" w:rsidSect="006A0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73F6"/>
    <w:rsid w:val="00141178"/>
    <w:rsid w:val="001A73F6"/>
    <w:rsid w:val="001B5BC4"/>
    <w:rsid w:val="00240A34"/>
    <w:rsid w:val="00306EA8"/>
    <w:rsid w:val="004431C8"/>
    <w:rsid w:val="00616E68"/>
    <w:rsid w:val="006A07A6"/>
    <w:rsid w:val="008C7920"/>
    <w:rsid w:val="00A970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A7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105</Words>
  <Characters>579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2011-05-01T15:37:00Z</dcterms:created>
  <dcterms:modified xsi:type="dcterms:W3CDTF">2011-05-01T20:38:00Z</dcterms:modified>
</cp:coreProperties>
</file>