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B6" w:rsidRPr="00656902" w:rsidRDefault="00FC55B6" w:rsidP="00FA18DF">
      <w:pPr>
        <w:jc w:val="center"/>
        <w:rPr>
          <w:b/>
          <w:i/>
          <w:sz w:val="40"/>
          <w:szCs w:val="40"/>
          <w:u w:val="double"/>
        </w:rPr>
      </w:pPr>
      <w:r w:rsidRPr="00656902">
        <w:rPr>
          <w:b/>
          <w:i/>
          <w:sz w:val="40"/>
          <w:szCs w:val="40"/>
          <w:u w:val="double"/>
        </w:rPr>
        <w:t>INTRODUCTION GENERALE :</w:t>
      </w:r>
    </w:p>
    <w:p w:rsidR="005D71E2" w:rsidRPr="00171BA6" w:rsidRDefault="00171BA6" w:rsidP="00FA18DF">
      <w:pPr>
        <w:jc w:val="center"/>
        <w:rPr>
          <w:b/>
          <w:sz w:val="28"/>
          <w:szCs w:val="28"/>
        </w:rPr>
      </w:pPr>
      <w:r w:rsidRPr="00171BA6">
        <w:rPr>
          <w:b/>
          <w:sz w:val="28"/>
          <w:szCs w:val="28"/>
        </w:rPr>
        <w:t>**</w:t>
      </w:r>
      <w:r w:rsidR="005D71E2" w:rsidRPr="00171BA6">
        <w:rPr>
          <w:b/>
          <w:sz w:val="28"/>
          <w:szCs w:val="28"/>
        </w:rPr>
        <w:t>DROIT JUDICIAIRE PRIVEE</w:t>
      </w:r>
      <w:r w:rsidRPr="00171BA6">
        <w:rPr>
          <w:b/>
          <w:sz w:val="28"/>
          <w:szCs w:val="28"/>
        </w:rPr>
        <w:t>**</w:t>
      </w:r>
    </w:p>
    <w:p w:rsidR="00FA18DF" w:rsidRDefault="005D71E2">
      <w:r>
        <w:t xml:space="preserve">Le droit de procédure civile et judiciaire est défini comme étant l’ensemble </w:t>
      </w:r>
      <w:r w:rsidR="00FA18DF">
        <w:t>des règles juridiques relatives</w:t>
      </w:r>
      <w:r>
        <w:t xml:space="preserve"> à l’organisation de formalité à accomplir dans le cadre d’un </w:t>
      </w:r>
      <w:r w:rsidR="00FA18DF">
        <w:t>contentieux.  En principe, on vise le contentieux qui est soumis aux tribunaux étatiques mais en réalité il existe un autre type contentieux qui est l’arbitrage.</w:t>
      </w:r>
    </w:p>
    <w:p w:rsidR="001A5401" w:rsidRDefault="00FA18DF">
      <w:r>
        <w:t>En effet, les justiciables peuvent saisir soit le juge étatique</w:t>
      </w:r>
      <w:r w:rsidR="001A5401">
        <w:t xml:space="preserve"> soit l’arbitre (juge privée) afin de lui soumettre un problème juridique déterminer.</w:t>
      </w:r>
      <w:r>
        <w:t xml:space="preserve">  </w:t>
      </w:r>
      <w:r w:rsidR="001A5401">
        <w:t xml:space="preserve">La </w:t>
      </w:r>
      <w:r w:rsidR="00062399">
        <w:t>solution à ce problème est prononcée soit par un jugement (pour le juge étatique) soit dans une sentence arbitrale (pour l’arbitre).</w:t>
      </w:r>
    </w:p>
    <w:p w:rsidR="00062399" w:rsidRDefault="00062399">
      <w:r>
        <w:t>Ce droit judiciaire se chartérise par son caractère impératif. En effet, l’organisation judiciaire se distingue par l’existence d’un certain nombre de formalité qui sont d’ordre public.</w:t>
      </w:r>
    </w:p>
    <w:p w:rsidR="00062399" w:rsidRDefault="007B4E1A">
      <w:r>
        <w:t>Cependant,</w:t>
      </w:r>
      <w:r w:rsidR="00062399">
        <w:t xml:space="preserve"> il faut noter certain règles qui ne sont pas d’ordre public et qui sont seulement supplétive</w:t>
      </w:r>
      <w:r w:rsidR="00A65620">
        <w:t xml:space="preserve"> donc elles peuvent être </w:t>
      </w:r>
      <w:r>
        <w:t>écarté par la volonté contraire des parties par exemple : les règles relative à la compétence territoriales des juges.</w:t>
      </w:r>
    </w:p>
    <w:p w:rsidR="00B43854" w:rsidRDefault="007B4E1A">
      <w:r>
        <w:t xml:space="preserve">Par ailleurs le droit de procédure judiciaire se caractérise par son aspect formaliste. En </w:t>
      </w:r>
      <w:r w:rsidR="00313B37">
        <w:t>effet,</w:t>
      </w:r>
      <w:r>
        <w:t xml:space="preserve"> il existe plusieurs formalités qui doivent être respectées par</w:t>
      </w:r>
      <w:r w:rsidR="00313B37">
        <w:t xml:space="preserve"> les</w:t>
      </w:r>
      <w:r>
        <w:t xml:space="preserve"> just</w:t>
      </w:r>
      <w:r w:rsidR="00C778F0">
        <w:t xml:space="preserve">iciables que ce soit avant d’introduire l’action en justice </w:t>
      </w:r>
      <w:r w:rsidR="00313B37">
        <w:t xml:space="preserve"> ou lors du déroulement de l’action ou bien en cours d’exécution</w:t>
      </w:r>
      <w:r w:rsidR="00D24E1D">
        <w:t xml:space="preserve"> de la décision </w:t>
      </w:r>
      <w:r w:rsidR="009E3D17">
        <w:t xml:space="preserve">de </w:t>
      </w:r>
      <w:r w:rsidR="00D24E1D">
        <w:t xml:space="preserve"> justice et d</w:t>
      </w:r>
      <w:r w:rsidR="003531BE">
        <w:t>e</w:t>
      </w:r>
      <w:r w:rsidR="00D24E1D">
        <w:t xml:space="preserve"> manière générale le non respect de ces formalité est </w:t>
      </w:r>
      <w:r w:rsidR="005902B3">
        <w:t>sanctionné</w:t>
      </w:r>
      <w:r w:rsidR="00D24E1D">
        <w:t xml:space="preserve"> par la </w:t>
      </w:r>
      <w:r w:rsidR="005902B3">
        <w:t>nullité</w:t>
      </w:r>
      <w:r w:rsidR="00D24E1D">
        <w:t xml:space="preserve"> absolu de la </w:t>
      </w:r>
      <w:r w:rsidR="005902B3">
        <w:t>procédure.</w:t>
      </w:r>
      <w:r w:rsidR="00D24E1D">
        <w:t xml:space="preserve"> </w:t>
      </w:r>
      <w:r w:rsidR="00313B37">
        <w:t xml:space="preserve"> </w:t>
      </w:r>
    </w:p>
    <w:p w:rsidR="00B43854" w:rsidRDefault="00B43854">
      <w:r>
        <w:br w:type="page"/>
      </w:r>
    </w:p>
    <w:p w:rsidR="00B43854" w:rsidRPr="00656902" w:rsidRDefault="00B43854" w:rsidP="00656902">
      <w:pPr>
        <w:jc w:val="center"/>
        <w:rPr>
          <w:b/>
          <w:i/>
          <w:sz w:val="40"/>
          <w:szCs w:val="40"/>
          <w:u w:val="double"/>
        </w:rPr>
      </w:pPr>
      <w:r w:rsidRPr="00656902">
        <w:rPr>
          <w:b/>
          <w:i/>
          <w:sz w:val="40"/>
          <w:szCs w:val="40"/>
          <w:u w:val="double"/>
        </w:rPr>
        <w:lastRenderedPageBreak/>
        <w:t>PREMIERE PARTIE : L’ORGANISATION JUDICIARE DE LA                                                       JUSTICE ETATIQUE</w:t>
      </w:r>
    </w:p>
    <w:p w:rsidR="00B43854" w:rsidRDefault="00B43854" w:rsidP="00B43854">
      <w:r>
        <w:t>Cette organisation judicaire est prévue par le CPCC (</w:t>
      </w:r>
      <w:r w:rsidRPr="00B43854">
        <w:rPr>
          <w:b/>
        </w:rPr>
        <w:t>C</w:t>
      </w:r>
      <w:r>
        <w:t xml:space="preserve">ode des </w:t>
      </w:r>
      <w:r w:rsidRPr="00B43854">
        <w:rPr>
          <w:b/>
        </w:rPr>
        <w:t>P</w:t>
      </w:r>
      <w:r>
        <w:t>rocédures</w:t>
      </w:r>
      <w:r w:rsidRPr="00B43854">
        <w:rPr>
          <w:b/>
        </w:rPr>
        <w:t xml:space="preserve"> C</w:t>
      </w:r>
      <w:r>
        <w:t xml:space="preserve">ivile et </w:t>
      </w:r>
      <w:r w:rsidRPr="00B43854">
        <w:rPr>
          <w:b/>
        </w:rPr>
        <w:t>C</w:t>
      </w:r>
      <w:r>
        <w:t>ommercial).</w:t>
      </w:r>
    </w:p>
    <w:p w:rsidR="00E11570" w:rsidRDefault="00B43854" w:rsidP="00B43854">
      <w:pPr>
        <w:rPr>
          <w:rFonts w:cstheme="minorHAnsi"/>
        </w:rPr>
      </w:pPr>
      <w:r>
        <w:t xml:space="preserve">Parmi les règles les plus importantes, on trouve les règles relatives aux conditions exigées pour pouvoir intenter </w:t>
      </w:r>
      <w:r w:rsidRPr="00B43854">
        <w:rPr>
          <w:rFonts w:cstheme="minorHAnsi"/>
        </w:rPr>
        <w:t>(introduire=saisir le juge)</w:t>
      </w:r>
      <w:r w:rsidR="00E11570">
        <w:rPr>
          <w:rFonts w:cstheme="minorHAnsi"/>
        </w:rPr>
        <w:t xml:space="preserve"> une action. On vise essentiellement </w:t>
      </w:r>
      <w:r w:rsidR="00E11570" w:rsidRPr="00E11570">
        <w:rPr>
          <w:rFonts w:cstheme="minorHAnsi"/>
          <w:u w:val="dotted"/>
        </w:rPr>
        <w:t>la qualité</w:t>
      </w:r>
      <w:r w:rsidR="00E11570">
        <w:rPr>
          <w:rFonts w:cstheme="minorHAnsi"/>
        </w:rPr>
        <w:t xml:space="preserve"> et </w:t>
      </w:r>
      <w:r w:rsidR="00E11570" w:rsidRPr="00E11570">
        <w:rPr>
          <w:rFonts w:cstheme="minorHAnsi"/>
          <w:u w:val="dotted"/>
        </w:rPr>
        <w:t>la capacité</w:t>
      </w:r>
      <w:r w:rsidR="00E11570">
        <w:rPr>
          <w:rFonts w:cstheme="minorHAnsi"/>
        </w:rPr>
        <w:t xml:space="preserve"> ainsi que </w:t>
      </w:r>
      <w:r w:rsidR="00E11570" w:rsidRPr="00E11570">
        <w:rPr>
          <w:rFonts w:cstheme="minorHAnsi"/>
          <w:u w:val="dotted"/>
        </w:rPr>
        <w:t>l’intérêt pour agir</w:t>
      </w:r>
      <w:r w:rsidR="00E11570">
        <w:rPr>
          <w:rFonts w:cstheme="minorHAnsi"/>
        </w:rPr>
        <w:t xml:space="preserve">.    </w:t>
      </w:r>
    </w:p>
    <w:p w:rsidR="00E11570" w:rsidRDefault="00E11570" w:rsidP="00B43854">
      <w:pPr>
        <w:rPr>
          <w:rFonts w:cstheme="minorHAnsi"/>
        </w:rPr>
      </w:pPr>
      <w:r>
        <w:rPr>
          <w:rFonts w:cstheme="minorHAnsi"/>
        </w:rPr>
        <w:t>Section  1 : la capacité (</w:t>
      </w:r>
      <w:proofErr w:type="spellStart"/>
      <w:r w:rsidR="00F46870" w:rsidRPr="00F46870">
        <w:rPr>
          <w:rFonts w:ascii="Arial" w:hAnsi="Arial" w:cs="Arial"/>
        </w:rPr>
        <w:t>الأهلي</w:t>
      </w:r>
      <w:proofErr w:type="spellEnd"/>
      <w:r w:rsidR="00F46870" w:rsidRPr="00F46870">
        <w:rPr>
          <w:rFonts w:ascii="Arial" w:hAnsi="Arial" w:cs="Arial"/>
        </w:rPr>
        <w:t>ّة</w:t>
      </w:r>
      <w:r>
        <w:rPr>
          <w:rFonts w:cstheme="minorHAnsi"/>
        </w:rPr>
        <w:t>), la qualité (</w:t>
      </w:r>
      <w:proofErr w:type="spellStart"/>
      <w:r w:rsidRPr="00E11570">
        <w:rPr>
          <w:rFonts w:ascii="Arial" w:hAnsi="Arial" w:cstheme="minorHAnsi"/>
          <w:sz w:val="24"/>
          <w:szCs w:val="24"/>
        </w:rPr>
        <w:t>الصفة</w:t>
      </w:r>
      <w:proofErr w:type="spellEnd"/>
      <w:r>
        <w:rPr>
          <w:rFonts w:cstheme="minorHAnsi"/>
        </w:rPr>
        <w:t>) et l’intérêt pour agir (</w:t>
      </w:r>
      <w:proofErr w:type="spellStart"/>
      <w:r w:rsidR="00B402A5" w:rsidRPr="00B402A5">
        <w:rPr>
          <w:rFonts w:ascii="Arial" w:hAnsi="Arial" w:cs="Arial"/>
        </w:rPr>
        <w:t>المصلحة</w:t>
      </w:r>
      <w:proofErr w:type="spellEnd"/>
      <w:r>
        <w:rPr>
          <w:rFonts w:cstheme="minorHAnsi"/>
        </w:rPr>
        <w:t>)</w:t>
      </w:r>
    </w:p>
    <w:p w:rsidR="00CD7D69" w:rsidRDefault="002F3A50" w:rsidP="00B43854">
      <w:pPr>
        <w:rPr>
          <w:rFonts w:cstheme="minorHAnsi"/>
        </w:rPr>
      </w:pPr>
      <w:r>
        <w:rPr>
          <w:rFonts w:cstheme="minorHAnsi"/>
        </w:rPr>
        <w:t xml:space="preserve">Section 2 : la compétence du juge </w:t>
      </w:r>
    </w:p>
    <w:p w:rsidR="00960FB6" w:rsidRPr="00656902" w:rsidRDefault="004D6EF1" w:rsidP="00656902">
      <w:pPr>
        <w:pStyle w:val="Paragraphedeliste"/>
        <w:numPr>
          <w:ilvl w:val="0"/>
          <w:numId w:val="5"/>
        </w:numPr>
        <w:jc w:val="center"/>
        <w:rPr>
          <w:rFonts w:cstheme="minorHAnsi"/>
          <w:b/>
          <w:sz w:val="40"/>
          <w:szCs w:val="40"/>
          <w:u w:val="double"/>
        </w:rPr>
      </w:pPr>
      <w:r w:rsidRPr="00656902">
        <w:rPr>
          <w:rFonts w:cstheme="minorHAnsi"/>
          <w:b/>
          <w:sz w:val="40"/>
          <w:szCs w:val="40"/>
          <w:u w:val="double"/>
        </w:rPr>
        <w:t>Section  1 : la capacité, la qualité et l’intérêt pour agir</w:t>
      </w:r>
    </w:p>
    <w:p w:rsidR="004D6EF1" w:rsidRPr="00960FB6" w:rsidRDefault="00960FB6" w:rsidP="00960FB6">
      <w:pPr>
        <w:pStyle w:val="Paragraphedeliste"/>
        <w:numPr>
          <w:ilvl w:val="0"/>
          <w:numId w:val="1"/>
        </w:numPr>
        <w:rPr>
          <w:rFonts w:cstheme="minorHAnsi"/>
          <w:b/>
          <w:sz w:val="24"/>
          <w:szCs w:val="24"/>
          <w:u w:val="double"/>
        </w:rPr>
      </w:pPr>
      <w:r w:rsidRPr="00960FB6">
        <w:rPr>
          <w:rFonts w:cstheme="minorHAnsi"/>
          <w:b/>
          <w:sz w:val="24"/>
          <w:szCs w:val="24"/>
        </w:rPr>
        <w:t>la capacité (</w:t>
      </w:r>
      <w:proofErr w:type="spellStart"/>
      <w:r w:rsidRPr="00960FB6">
        <w:rPr>
          <w:rFonts w:ascii="Arial" w:hAnsi="Arial" w:cstheme="minorHAnsi"/>
          <w:b/>
          <w:sz w:val="24"/>
          <w:szCs w:val="24"/>
        </w:rPr>
        <w:t>الأهلي</w:t>
      </w:r>
      <w:proofErr w:type="spellEnd"/>
      <w:r w:rsidRPr="00960FB6">
        <w:rPr>
          <w:rFonts w:ascii="Arial" w:hAnsi="Arial" w:cstheme="minorHAnsi"/>
          <w:b/>
          <w:sz w:val="24"/>
          <w:szCs w:val="24"/>
        </w:rPr>
        <w:t>ّة</w:t>
      </w:r>
      <w:r w:rsidRPr="00960FB6">
        <w:rPr>
          <w:rFonts w:cstheme="minorHAnsi"/>
          <w:b/>
          <w:sz w:val="24"/>
          <w:szCs w:val="24"/>
        </w:rPr>
        <w:t>)</w:t>
      </w:r>
      <w:r w:rsidR="006E5540">
        <w:rPr>
          <w:rFonts w:cstheme="minorHAnsi"/>
          <w:b/>
          <w:sz w:val="24"/>
          <w:szCs w:val="24"/>
        </w:rPr>
        <w:t> :</w:t>
      </w:r>
    </w:p>
    <w:p w:rsidR="002F3A50" w:rsidRDefault="00885EC3" w:rsidP="00B43854">
      <w:r>
        <w:t xml:space="preserve">Pour pouvoir exercer une action en </w:t>
      </w:r>
      <w:r w:rsidR="00D364D1">
        <w:t>justice,</w:t>
      </w:r>
      <w:r>
        <w:t xml:space="preserve"> </w:t>
      </w:r>
      <w:r w:rsidR="00D364D1">
        <w:t>la personne doit avoir la majorité requise (avoir 18 ans révolus ou être mineur émancipé et ne pas être frappé par une incapacité).</w:t>
      </w:r>
    </w:p>
    <w:p w:rsidR="001D5A89" w:rsidRDefault="00D364D1" w:rsidP="001D5A89">
      <w:r>
        <w:t xml:space="preserve">Cependant, il faut noter que la loi reconnait pour un mineur la possibilité d’agir en justice en matière de </w:t>
      </w:r>
      <w:r w:rsidR="003A246C">
        <w:t>référer et en cas de péril en la demeure (</w:t>
      </w:r>
      <w:proofErr w:type="spellStart"/>
      <w:r w:rsidR="003A246C" w:rsidRPr="003A246C">
        <w:rPr>
          <w:rFonts w:ascii="Arial" w:hAnsi="Arial" w:cs="Arial"/>
        </w:rPr>
        <w:t>محدق</w:t>
      </w:r>
      <w:proofErr w:type="spellEnd"/>
      <w:r w:rsidR="003A246C">
        <w:rPr>
          <w:rFonts w:ascii="Arial" w:hAnsi="Arial" w:cs="Arial"/>
        </w:rPr>
        <w:t xml:space="preserve"> </w:t>
      </w:r>
      <w:proofErr w:type="spellStart"/>
      <w:r w:rsidR="003A246C" w:rsidRPr="003A246C">
        <w:rPr>
          <w:rFonts w:ascii="Arial" w:hAnsi="Arial" w:cs="Arial"/>
        </w:rPr>
        <w:t>خطر</w:t>
      </w:r>
      <w:proofErr w:type="spellEnd"/>
      <w:r w:rsidR="003A246C">
        <w:t xml:space="preserve">) </w:t>
      </w:r>
      <w:r w:rsidR="001D5A89">
        <w:t>à condition que le mineur en question soit doué de décernement (13 ans). En dehors de ces cas ou l’incapable majeur ne peut agir en justice seule, il faut qu’il soit représenter par son tuteur que se soit en tant que demandeur à la procédure (</w:t>
      </w:r>
      <w:proofErr w:type="spellStart"/>
      <w:r w:rsidR="00232581" w:rsidRPr="001D5A89">
        <w:rPr>
          <w:rFonts w:ascii="Arial" w:hAnsi="Arial" w:cs="Arial"/>
        </w:rPr>
        <w:t>المد</w:t>
      </w:r>
      <w:proofErr w:type="spellEnd"/>
      <w:r w:rsidR="00232581" w:rsidRPr="001D5A89">
        <w:rPr>
          <w:rFonts w:ascii="Arial" w:hAnsi="Arial" w:cs="Arial"/>
        </w:rPr>
        <w:t>ّ</w:t>
      </w:r>
      <w:proofErr w:type="spellStart"/>
      <w:r w:rsidR="00232581" w:rsidRPr="001D5A89">
        <w:rPr>
          <w:rFonts w:ascii="Arial" w:hAnsi="Arial" w:cs="Arial"/>
        </w:rPr>
        <w:t>عي</w:t>
      </w:r>
      <w:proofErr w:type="spellEnd"/>
      <w:r w:rsidR="00232581">
        <w:rPr>
          <w:rFonts w:ascii="Arial" w:hAnsi="Arial" w:cs="Arial"/>
        </w:rPr>
        <w:t>)</w:t>
      </w:r>
      <w:r w:rsidR="00232581">
        <w:t xml:space="preserve"> </w:t>
      </w:r>
      <w:r w:rsidR="001D5A89">
        <w:t>ou défendeur à la procédure (</w:t>
      </w:r>
      <w:proofErr w:type="spellStart"/>
      <w:r w:rsidR="001D5A89" w:rsidRPr="001D5A89">
        <w:rPr>
          <w:rFonts w:ascii="Arial" w:hAnsi="Arial" w:cs="Arial"/>
        </w:rPr>
        <w:t>عليه</w:t>
      </w:r>
      <w:proofErr w:type="spellEnd"/>
      <w:r w:rsidR="001D5A89" w:rsidRPr="001D5A89">
        <w:rPr>
          <w:rFonts w:ascii="Arial" w:hAnsi="Arial" w:cs="Arial"/>
        </w:rPr>
        <w:t xml:space="preserve"> </w:t>
      </w:r>
      <w:proofErr w:type="spellStart"/>
      <w:r w:rsidR="001D5A89" w:rsidRPr="001D5A89">
        <w:rPr>
          <w:rFonts w:ascii="Arial" w:hAnsi="Arial" w:cs="Arial"/>
        </w:rPr>
        <w:t>المد</w:t>
      </w:r>
      <w:proofErr w:type="spellEnd"/>
      <w:r w:rsidR="001D5A89" w:rsidRPr="001D5A89">
        <w:rPr>
          <w:rFonts w:ascii="Arial" w:hAnsi="Arial" w:cs="Arial"/>
        </w:rPr>
        <w:t>ّ</w:t>
      </w:r>
      <w:proofErr w:type="spellStart"/>
      <w:r w:rsidR="001D5A89" w:rsidRPr="001D5A89">
        <w:rPr>
          <w:rFonts w:ascii="Arial" w:hAnsi="Arial" w:cs="Arial"/>
        </w:rPr>
        <w:t>عي</w:t>
      </w:r>
      <w:proofErr w:type="spellEnd"/>
      <w:r w:rsidR="001D5A89">
        <w:t>).</w:t>
      </w:r>
    </w:p>
    <w:p w:rsidR="006E5540" w:rsidRPr="006E5540" w:rsidRDefault="006E5540" w:rsidP="006E5540">
      <w:pPr>
        <w:pStyle w:val="Paragraphedeliste"/>
        <w:numPr>
          <w:ilvl w:val="0"/>
          <w:numId w:val="1"/>
        </w:numPr>
        <w:rPr>
          <w:rFonts w:cstheme="minorHAnsi"/>
          <w:b/>
          <w:sz w:val="24"/>
          <w:szCs w:val="24"/>
        </w:rPr>
      </w:pPr>
      <w:r w:rsidRPr="006E5540">
        <w:rPr>
          <w:rFonts w:cstheme="minorHAnsi"/>
          <w:b/>
          <w:sz w:val="24"/>
          <w:szCs w:val="24"/>
        </w:rPr>
        <w:t>la qualité (</w:t>
      </w:r>
      <w:proofErr w:type="spellStart"/>
      <w:r w:rsidRPr="006E5540">
        <w:rPr>
          <w:rFonts w:cstheme="minorHAnsi"/>
          <w:b/>
          <w:sz w:val="24"/>
          <w:szCs w:val="24"/>
        </w:rPr>
        <w:t>الصفة</w:t>
      </w:r>
      <w:proofErr w:type="spellEnd"/>
      <w:r w:rsidRPr="006E5540">
        <w:rPr>
          <w:rFonts w:cstheme="minorHAnsi"/>
          <w:b/>
          <w:sz w:val="24"/>
          <w:szCs w:val="24"/>
        </w:rPr>
        <w:t>)</w:t>
      </w:r>
      <w:r>
        <w:rPr>
          <w:rFonts w:cstheme="minorHAnsi"/>
          <w:b/>
          <w:sz w:val="24"/>
          <w:szCs w:val="24"/>
        </w:rPr>
        <w:t xml:space="preserve"> : </w:t>
      </w:r>
    </w:p>
    <w:p w:rsidR="007A4A69" w:rsidRDefault="00960FB6" w:rsidP="00B43854">
      <w:r>
        <w:t xml:space="preserve">S’agissant de la qualité </w:t>
      </w:r>
      <w:r w:rsidR="006E5540">
        <w:t>pour agir en justice, il faut que le justiciable qui a agit en justice ait le droit de solliciter au juge l’examen de sa présentation (</w:t>
      </w:r>
      <w:proofErr w:type="spellStart"/>
      <w:r w:rsidR="006E5540" w:rsidRPr="006E5540">
        <w:rPr>
          <w:rFonts w:ascii="Arial" w:hAnsi="Arial" w:cs="Arial"/>
        </w:rPr>
        <w:t>الإد</w:t>
      </w:r>
      <w:proofErr w:type="spellEnd"/>
      <w:r w:rsidR="006E5540" w:rsidRPr="006E5540">
        <w:rPr>
          <w:rFonts w:ascii="Arial" w:hAnsi="Arial" w:cs="Arial"/>
        </w:rPr>
        <w:t>ّ</w:t>
      </w:r>
      <w:proofErr w:type="spellStart"/>
      <w:r w:rsidR="006E5540" w:rsidRPr="006E5540">
        <w:rPr>
          <w:rFonts w:ascii="Arial" w:hAnsi="Arial" w:cs="Arial"/>
        </w:rPr>
        <w:t>عاء</w:t>
      </w:r>
      <w:proofErr w:type="spellEnd"/>
      <w:r w:rsidR="006E5540">
        <w:t>).</w:t>
      </w:r>
      <w:r w:rsidR="00F87A3A">
        <w:t xml:space="preserve">  Ce droit se ramène le plus </w:t>
      </w:r>
      <w:r w:rsidR="007A4A69">
        <w:t xml:space="preserve">souvent à l’obligation de justifier d’un intérêt directe et personnel. Le non respect de cette condition est sanctionné par </w:t>
      </w:r>
      <w:r w:rsidR="007A4A69" w:rsidRPr="007A4A69">
        <w:t>l'irrecevabilité</w:t>
      </w:r>
      <w:r w:rsidR="007A4A69">
        <w:t xml:space="preserve"> de l’action en justice.</w:t>
      </w:r>
    </w:p>
    <w:p w:rsidR="00D364D1" w:rsidRDefault="007A4A69" w:rsidP="007A4A69">
      <w:pPr>
        <w:pStyle w:val="Paragraphedeliste"/>
        <w:numPr>
          <w:ilvl w:val="0"/>
          <w:numId w:val="1"/>
        </w:numPr>
        <w:rPr>
          <w:rFonts w:cstheme="minorHAnsi"/>
          <w:b/>
          <w:sz w:val="24"/>
          <w:szCs w:val="24"/>
        </w:rPr>
      </w:pPr>
      <w:r w:rsidRPr="007A4A69">
        <w:rPr>
          <w:rFonts w:cstheme="minorHAnsi"/>
          <w:b/>
          <w:sz w:val="24"/>
          <w:szCs w:val="24"/>
        </w:rPr>
        <w:t>l</w:t>
      </w:r>
      <w:r>
        <w:rPr>
          <w:rFonts w:cstheme="minorHAnsi"/>
          <w:b/>
          <w:sz w:val="24"/>
          <w:szCs w:val="24"/>
        </w:rPr>
        <w:t>’intérêt</w:t>
      </w:r>
      <w:r w:rsidRPr="007A4A69">
        <w:rPr>
          <w:rFonts w:cstheme="minorHAnsi"/>
          <w:b/>
          <w:sz w:val="24"/>
          <w:szCs w:val="24"/>
        </w:rPr>
        <w:t xml:space="preserve"> (</w:t>
      </w:r>
      <w:proofErr w:type="spellStart"/>
      <w:r w:rsidRPr="007A4A69">
        <w:rPr>
          <w:rFonts w:cstheme="minorHAnsi"/>
          <w:b/>
          <w:sz w:val="24"/>
          <w:szCs w:val="24"/>
        </w:rPr>
        <w:t>المصلحة</w:t>
      </w:r>
      <w:proofErr w:type="spellEnd"/>
      <w:r w:rsidRPr="007A4A69">
        <w:rPr>
          <w:rFonts w:cstheme="minorHAnsi"/>
          <w:b/>
          <w:sz w:val="24"/>
          <w:szCs w:val="24"/>
        </w:rPr>
        <w:t>)</w:t>
      </w:r>
      <w:r>
        <w:rPr>
          <w:rFonts w:cstheme="minorHAnsi"/>
          <w:b/>
          <w:sz w:val="24"/>
          <w:szCs w:val="24"/>
        </w:rPr>
        <w:t> :</w:t>
      </w:r>
    </w:p>
    <w:p w:rsidR="00786D56" w:rsidRDefault="007A4A69" w:rsidP="007A4A69">
      <w:pPr>
        <w:rPr>
          <w:rFonts w:cstheme="minorHAnsi"/>
        </w:rPr>
      </w:pPr>
      <w:r>
        <w:rPr>
          <w:rFonts w:cstheme="minorHAnsi"/>
        </w:rPr>
        <w:t>Le plaideur (=justiciable) est tenu de se prévaloir d’un intérêt positif</w:t>
      </w:r>
      <w:r w:rsidR="00786D56">
        <w:rPr>
          <w:rFonts w:cstheme="minorHAnsi"/>
        </w:rPr>
        <w:t>, concret, légitime et actuelle.</w:t>
      </w:r>
    </w:p>
    <w:p w:rsidR="00786D56" w:rsidRDefault="00786D56" w:rsidP="007A4A69">
      <w:pPr>
        <w:rPr>
          <w:rFonts w:cstheme="minorHAnsi"/>
        </w:rPr>
      </w:pPr>
      <w:r>
        <w:rPr>
          <w:rFonts w:cstheme="minorHAnsi"/>
        </w:rPr>
        <w:t>En effet, celui qui agit doit justifier que l’action en question est susceptible de lui procurer un avantage. Cet intérêt doit présenter certaines caractéristiques :</w:t>
      </w:r>
    </w:p>
    <w:p w:rsidR="007A4A69" w:rsidRPr="00786D56" w:rsidRDefault="00786D56" w:rsidP="00786D56">
      <w:pPr>
        <w:pStyle w:val="Paragraphedeliste"/>
        <w:numPr>
          <w:ilvl w:val="0"/>
          <w:numId w:val="3"/>
        </w:numPr>
        <w:rPr>
          <w:rFonts w:cstheme="minorHAnsi"/>
        </w:rPr>
      </w:pPr>
      <w:r w:rsidRPr="00786D56">
        <w:rPr>
          <w:rFonts w:cstheme="minorHAnsi"/>
        </w:rPr>
        <w:t xml:space="preserve">Tout d’abord, l’intérêt doit être actuel c'est-à-dire ne doit pas être éventuel seulement </w:t>
      </w:r>
    </w:p>
    <w:p w:rsidR="00786D56" w:rsidRDefault="00786D56" w:rsidP="00786D56">
      <w:pPr>
        <w:pStyle w:val="Paragraphedeliste"/>
        <w:numPr>
          <w:ilvl w:val="0"/>
          <w:numId w:val="3"/>
        </w:numPr>
        <w:rPr>
          <w:rFonts w:cstheme="minorHAnsi"/>
        </w:rPr>
      </w:pPr>
      <w:r w:rsidRPr="00786D56">
        <w:rPr>
          <w:rFonts w:cstheme="minorHAnsi"/>
        </w:rPr>
        <w:t>En</w:t>
      </w:r>
      <w:r>
        <w:rPr>
          <w:rFonts w:cstheme="minorHAnsi"/>
        </w:rPr>
        <w:t xml:space="preserve"> </w:t>
      </w:r>
      <w:r w:rsidRPr="00786D56">
        <w:rPr>
          <w:rFonts w:cstheme="minorHAnsi"/>
        </w:rPr>
        <w:t xml:space="preserve">outre, </w:t>
      </w:r>
      <w:r w:rsidR="00EA44E7">
        <w:rPr>
          <w:rFonts w:cstheme="minorHAnsi"/>
        </w:rPr>
        <w:t xml:space="preserve">cet intérêt doit être juridiquement légitime, </w:t>
      </w:r>
      <w:r w:rsidR="006C0839">
        <w:rPr>
          <w:rFonts w:cstheme="minorHAnsi"/>
        </w:rPr>
        <w:t>dans le sens  que la partie qui agit doit réclamer un droit juridiquement protégé</w:t>
      </w:r>
      <w:r w:rsidR="00CD7D69">
        <w:rPr>
          <w:rFonts w:cstheme="minorHAnsi"/>
        </w:rPr>
        <w:t>.</w:t>
      </w:r>
    </w:p>
    <w:p w:rsidR="00CD7D69" w:rsidRPr="00656902" w:rsidRDefault="006C0839" w:rsidP="00656902">
      <w:pPr>
        <w:pStyle w:val="Paragraphedeliste"/>
        <w:numPr>
          <w:ilvl w:val="0"/>
          <w:numId w:val="2"/>
        </w:numPr>
        <w:rPr>
          <w:rFonts w:cstheme="minorHAnsi"/>
          <w:b/>
          <w:sz w:val="24"/>
          <w:szCs w:val="24"/>
        </w:rPr>
      </w:pPr>
      <w:r w:rsidRPr="00CD7D69">
        <w:rPr>
          <w:rFonts w:cstheme="minorHAnsi"/>
        </w:rPr>
        <w:t>En plus, cet intérêt doit</w:t>
      </w:r>
      <w:r w:rsidR="00AA3AA4" w:rsidRPr="00CD7D69">
        <w:rPr>
          <w:rFonts w:cstheme="minorHAnsi"/>
        </w:rPr>
        <w:t xml:space="preserve"> en principe</w:t>
      </w:r>
      <w:r w:rsidRPr="00CD7D69">
        <w:rPr>
          <w:rFonts w:cstheme="minorHAnsi"/>
        </w:rPr>
        <w:t xml:space="preserve"> être personnel c’est le cas par exemple des actions en justice introduites par les syndicats pour défendre des intérêts à caractères collectif.</w:t>
      </w:r>
    </w:p>
    <w:p w:rsidR="00656902" w:rsidRPr="00656902" w:rsidRDefault="00CD7D69" w:rsidP="00656902">
      <w:pPr>
        <w:pStyle w:val="Paragraphedeliste"/>
        <w:numPr>
          <w:ilvl w:val="0"/>
          <w:numId w:val="5"/>
        </w:numPr>
        <w:jc w:val="center"/>
        <w:rPr>
          <w:rFonts w:cstheme="minorHAnsi"/>
          <w:b/>
          <w:sz w:val="40"/>
          <w:szCs w:val="40"/>
          <w:u w:val="double"/>
        </w:rPr>
      </w:pPr>
      <w:r w:rsidRPr="00656902">
        <w:rPr>
          <w:rFonts w:cstheme="minorHAnsi"/>
          <w:b/>
          <w:sz w:val="40"/>
          <w:szCs w:val="40"/>
          <w:u w:val="double"/>
        </w:rPr>
        <w:lastRenderedPageBreak/>
        <w:t>Section 2 : la compétence :</w:t>
      </w:r>
    </w:p>
    <w:p w:rsidR="00CD7D69" w:rsidRDefault="00CD7D69" w:rsidP="00CD7D69">
      <w:r>
        <w:t xml:space="preserve">La compétence consiste à déterminer le tribunal qui est capable juridiquement de siéger et de donner la solution juridique  </w:t>
      </w:r>
      <w:r w:rsidR="0069695B">
        <w:t xml:space="preserve">à l’affaire dont il est saisit. Cette détermination se fait par rapport à deux volets : </w:t>
      </w:r>
    </w:p>
    <w:p w:rsidR="0069695B" w:rsidRDefault="0069695B" w:rsidP="0069695B">
      <w:pPr>
        <w:pStyle w:val="Paragraphedeliste"/>
        <w:numPr>
          <w:ilvl w:val="0"/>
          <w:numId w:val="7"/>
        </w:numPr>
      </w:pPr>
      <w:r>
        <w:t>Le montant mis en jeu dans l’action ou la nature de litige (</w:t>
      </w:r>
      <w:r w:rsidRPr="00842CCB">
        <w:rPr>
          <w:b/>
          <w:u w:val="thick"/>
        </w:rPr>
        <w:t>compétence d’attribution</w:t>
      </w:r>
      <w:r>
        <w:t>)</w:t>
      </w:r>
    </w:p>
    <w:p w:rsidR="0069695B" w:rsidRDefault="0069695B" w:rsidP="0069695B">
      <w:pPr>
        <w:pStyle w:val="Paragraphedeliste"/>
        <w:numPr>
          <w:ilvl w:val="0"/>
          <w:numId w:val="7"/>
        </w:numPr>
      </w:pPr>
      <w:r>
        <w:t>Le lieu de résidence de d’fendeur à la procédure (</w:t>
      </w:r>
      <w:r w:rsidRPr="00842CCB">
        <w:rPr>
          <w:b/>
          <w:u w:val="thick"/>
        </w:rPr>
        <w:t>la compétence territoria</w:t>
      </w:r>
      <w:r w:rsidR="00842CCB" w:rsidRPr="00842CCB">
        <w:rPr>
          <w:b/>
          <w:u w:val="thick"/>
        </w:rPr>
        <w:t>l</w:t>
      </w:r>
      <w:r>
        <w:t>)</w:t>
      </w:r>
    </w:p>
    <w:p w:rsidR="00171BA6" w:rsidRPr="00CD7D69" w:rsidRDefault="00171BA6" w:rsidP="00171BA6"/>
    <w:p w:rsidR="00CD7D69" w:rsidRPr="00171BA6" w:rsidRDefault="00171BA6" w:rsidP="00171BA6">
      <w:pPr>
        <w:jc w:val="center"/>
        <w:rPr>
          <w:b/>
          <w:sz w:val="28"/>
          <w:szCs w:val="28"/>
        </w:rPr>
      </w:pPr>
      <w:r w:rsidRPr="00171BA6">
        <w:rPr>
          <w:b/>
          <w:sz w:val="28"/>
          <w:szCs w:val="28"/>
        </w:rPr>
        <w:t>**LA COMPETANCE D’ATTRIBUTION **</w:t>
      </w:r>
    </w:p>
    <w:p w:rsidR="00171BA6" w:rsidRPr="00603BAE" w:rsidRDefault="00603BAE" w:rsidP="00603BAE">
      <w:pPr>
        <w:pStyle w:val="Paragraphedeliste"/>
        <w:numPr>
          <w:ilvl w:val="0"/>
          <w:numId w:val="9"/>
        </w:numPr>
        <w:rPr>
          <w:b/>
          <w:sz w:val="24"/>
        </w:rPr>
      </w:pPr>
      <w:r w:rsidRPr="00603BAE">
        <w:rPr>
          <w:b/>
          <w:sz w:val="24"/>
        </w:rPr>
        <w:t>La compétence du juge cantonal :</w:t>
      </w:r>
    </w:p>
    <w:p w:rsidR="00603BAE" w:rsidRDefault="00603BAE" w:rsidP="00603BAE">
      <w:r>
        <w:t xml:space="preserve">Le juge cantonal est un juge unique est saisit dans les affaires suivantes : </w:t>
      </w:r>
    </w:p>
    <w:p w:rsidR="00325DF8" w:rsidRDefault="00325DF8" w:rsidP="00325DF8">
      <w:pPr>
        <w:pStyle w:val="Paragraphedeliste"/>
        <w:numPr>
          <w:ilvl w:val="0"/>
          <w:numId w:val="10"/>
        </w:numPr>
      </w:pPr>
      <w:r>
        <w:t>Il connait en premier ressort (degré) jusqu’à 7000dt</w:t>
      </w:r>
    </w:p>
    <w:p w:rsidR="00325DF8" w:rsidRDefault="00325DF8" w:rsidP="00325DF8">
      <w:pPr>
        <w:pStyle w:val="Paragraphedeliste"/>
        <w:numPr>
          <w:ilvl w:val="0"/>
          <w:numId w:val="10"/>
        </w:numPr>
      </w:pPr>
      <w:r>
        <w:t xml:space="preserve">En matière civile des actions personnelles ou mobilières </w:t>
      </w:r>
    </w:p>
    <w:p w:rsidR="00325DF8" w:rsidRDefault="00325DF8" w:rsidP="00325DF8">
      <w:pPr>
        <w:pStyle w:val="Paragraphedeliste"/>
        <w:numPr>
          <w:ilvl w:val="0"/>
          <w:numId w:val="10"/>
        </w:numPr>
      </w:pPr>
      <w:r>
        <w:t xml:space="preserve">Des actions en paiement </w:t>
      </w:r>
    </w:p>
    <w:p w:rsidR="00325DF8" w:rsidRDefault="00325DF8" w:rsidP="00325DF8">
      <w:pPr>
        <w:pStyle w:val="Paragraphedeliste"/>
        <w:numPr>
          <w:ilvl w:val="0"/>
          <w:numId w:val="10"/>
        </w:numPr>
      </w:pPr>
      <w:r>
        <w:t>Il connait également dans les limites de sa compétence les injections de payer (</w:t>
      </w:r>
      <w:proofErr w:type="spellStart"/>
      <w:r w:rsidRPr="00325DF8">
        <w:rPr>
          <w:rFonts w:ascii="Arial" w:hAnsi="Arial" w:cs="Arial"/>
        </w:rPr>
        <w:t>بالدفع</w:t>
      </w:r>
      <w:proofErr w:type="spellEnd"/>
      <w:r>
        <w:rPr>
          <w:rFonts w:ascii="Arial" w:hAnsi="Arial" w:cs="Arial"/>
        </w:rPr>
        <w:t xml:space="preserve"> </w:t>
      </w:r>
      <w:proofErr w:type="spellStart"/>
      <w:r w:rsidRPr="00325DF8">
        <w:rPr>
          <w:rFonts w:ascii="Arial" w:hAnsi="Arial" w:cs="Arial"/>
        </w:rPr>
        <w:t>وامر</w:t>
      </w:r>
      <w:proofErr w:type="spellEnd"/>
      <w:r w:rsidRPr="00325DF8">
        <w:rPr>
          <w:rFonts w:ascii="Arial" w:hAnsi="Arial" w:cs="Arial"/>
        </w:rPr>
        <w:t xml:space="preserve"> أ</w:t>
      </w:r>
      <w:r>
        <w:t>)</w:t>
      </w:r>
      <w:r w:rsidR="00F86C29">
        <w:t xml:space="preserve"> et des ordonnances sur requête.</w:t>
      </w:r>
    </w:p>
    <w:p w:rsidR="00E30D7F" w:rsidRDefault="00E30D7F" w:rsidP="00E30D7F">
      <w:r>
        <w:t>Le juge cantonal fait partie des juges qui disposent d’un pouvoir limité. On parle d’une juridiction particulière ou une juridiction d’exception.</w:t>
      </w:r>
      <w:r w:rsidR="009F46A8">
        <w:t xml:space="preserve"> Le législateur lui a conféré une compétence exclusive dans deux cas :</w:t>
      </w:r>
    </w:p>
    <w:p w:rsidR="009F46A8" w:rsidRDefault="009F46A8" w:rsidP="009F46A8">
      <w:pPr>
        <w:pStyle w:val="Paragraphedeliste"/>
        <w:numPr>
          <w:ilvl w:val="0"/>
          <w:numId w:val="11"/>
        </w:numPr>
      </w:pPr>
      <w:r>
        <w:t>En matière  de demande de pension alimentaire introduite à titre principal. Cette solution s’explique par le faite que la justice cantonale est une justice qui se caractérise par sa rapidité et par le fait que les demandeurs d’alimentations ont souvent un caractère d’urgence. c’est d’ailleurs pour cette raison que la loi prévoit qu’en la matière, le jugement est exécutoire même s’il fait l’objet d’un appel.</w:t>
      </w:r>
    </w:p>
    <w:p w:rsidR="009F46A8" w:rsidRDefault="00B46AA9" w:rsidP="009F46A8">
      <w:pPr>
        <w:pStyle w:val="Paragraphedeliste"/>
        <w:numPr>
          <w:ilvl w:val="0"/>
          <w:numId w:val="11"/>
        </w:numPr>
      </w:pPr>
      <w:r>
        <w:t>Le juge cantonal connait à lui seul les actions possessoires (</w:t>
      </w:r>
      <w:proofErr w:type="spellStart"/>
      <w:r w:rsidRPr="00B46AA9">
        <w:rPr>
          <w:rFonts w:ascii="Arial" w:hAnsi="Arial" w:cs="Arial"/>
        </w:rPr>
        <w:t>الحوزي</w:t>
      </w:r>
      <w:proofErr w:type="spellEnd"/>
      <w:r w:rsidRPr="00B46AA9">
        <w:rPr>
          <w:rFonts w:ascii="Arial" w:hAnsi="Arial" w:cs="Arial"/>
        </w:rPr>
        <w:t>ّة</w:t>
      </w:r>
      <w:r>
        <w:t>)</w:t>
      </w:r>
      <w:r w:rsidR="00DB2900">
        <w:t xml:space="preserve">. Ces actions ont pour </w:t>
      </w:r>
      <w:r w:rsidR="00275F27">
        <w:t>fondements,</w:t>
      </w:r>
      <w:r w:rsidR="00DB2900">
        <w:t xml:space="preserve"> la possession d’un immeuble ou d’un droit réel </w:t>
      </w:r>
      <w:r w:rsidR="00275F27">
        <w:t>immobilier. Elles ont pour objet la reconnaissance et la protection de la possession, la cessation du trouble ou la dépossession. cette protection possessoire a pour objet de maintenir la paix sociale. C’est au juge cantonal de faire cesser le trouble ou la dépossession.</w:t>
      </w:r>
    </w:p>
    <w:p w:rsidR="00275F27" w:rsidRDefault="00275F27" w:rsidP="00275F27">
      <w:r>
        <w:t xml:space="preserve">Par ailleurs, </w:t>
      </w:r>
      <w:r w:rsidR="009D7E1C">
        <w:t>et conformément à l’art 39 du CPCC le juge cantonal  statue en référé (</w:t>
      </w:r>
      <w:proofErr w:type="spellStart"/>
      <w:r w:rsidR="009D7E1C" w:rsidRPr="009D7E1C">
        <w:rPr>
          <w:rFonts w:ascii="Arial" w:hAnsi="Arial" w:cs="Arial"/>
        </w:rPr>
        <w:t>إستعجالي</w:t>
      </w:r>
      <w:proofErr w:type="spellEnd"/>
      <w:r w:rsidR="009D7E1C" w:rsidRPr="009D7E1C">
        <w:rPr>
          <w:rFonts w:ascii="Arial" w:hAnsi="Arial" w:cs="Arial"/>
        </w:rPr>
        <w:t>ّة</w:t>
      </w:r>
      <w:r w:rsidR="009D7E1C">
        <w:rPr>
          <w:rFonts w:ascii="Arial" w:hAnsi="Arial" w:cs="Arial"/>
        </w:rPr>
        <w:t xml:space="preserve"> </w:t>
      </w:r>
      <w:proofErr w:type="spellStart"/>
      <w:r w:rsidR="009D7E1C" w:rsidRPr="009D7E1C">
        <w:rPr>
          <w:rFonts w:ascii="Arial" w:hAnsi="Arial" w:cs="Arial"/>
        </w:rPr>
        <w:t>بصفة</w:t>
      </w:r>
      <w:proofErr w:type="spellEnd"/>
      <w:r w:rsidR="009D7E1C">
        <w:t>)</w:t>
      </w:r>
      <w:r w:rsidR="0034537E">
        <w:t xml:space="preserve"> dans les cas suivants : </w:t>
      </w:r>
    </w:p>
    <w:p w:rsidR="0034537E" w:rsidRDefault="0034537E" w:rsidP="0034537E">
      <w:pPr>
        <w:pStyle w:val="Paragraphedeliste"/>
        <w:numPr>
          <w:ilvl w:val="0"/>
          <w:numId w:val="12"/>
        </w:numPr>
      </w:pPr>
      <w:r>
        <w:t>En matière de saisie conservatoire (</w:t>
      </w:r>
      <w:proofErr w:type="spellStart"/>
      <w:r w:rsidRPr="0034537E">
        <w:rPr>
          <w:rFonts w:ascii="Arial" w:hAnsi="Arial" w:cs="Arial"/>
        </w:rPr>
        <w:t>تحفظي</w:t>
      </w:r>
      <w:proofErr w:type="spellEnd"/>
      <w:r w:rsidRPr="0034537E">
        <w:rPr>
          <w:rFonts w:ascii="Arial" w:hAnsi="Arial" w:cs="Arial"/>
        </w:rPr>
        <w:t>ّة</w:t>
      </w:r>
      <w:r>
        <w:rPr>
          <w:rFonts w:ascii="Arial" w:hAnsi="Arial" w:cs="Arial"/>
        </w:rPr>
        <w:t xml:space="preserve"> </w:t>
      </w:r>
      <w:proofErr w:type="spellStart"/>
      <w:r w:rsidRPr="0034537E">
        <w:rPr>
          <w:rFonts w:ascii="Arial" w:hAnsi="Arial" w:cs="Arial"/>
        </w:rPr>
        <w:t>عقلة</w:t>
      </w:r>
      <w:proofErr w:type="spellEnd"/>
      <w:r>
        <w:t xml:space="preserve">) dans la limite de sa compétence (7000dt) </w:t>
      </w:r>
    </w:p>
    <w:p w:rsidR="00275F27" w:rsidRDefault="00A63A9D" w:rsidP="00A63A9D">
      <w:pPr>
        <w:pStyle w:val="Paragraphedeliste"/>
        <w:numPr>
          <w:ilvl w:val="0"/>
          <w:numId w:val="12"/>
        </w:numPr>
      </w:pPr>
      <w:r>
        <w:t xml:space="preserve">En matière de constat urgent   </w:t>
      </w:r>
    </w:p>
    <w:p w:rsidR="00A63A9D" w:rsidRDefault="00A63A9D" w:rsidP="00A63A9D">
      <w:pPr>
        <w:pStyle w:val="Paragraphedeliste"/>
        <w:numPr>
          <w:ilvl w:val="0"/>
          <w:numId w:val="12"/>
        </w:numPr>
      </w:pPr>
      <w:r>
        <w:t>En matière de difficulté née d’exécution des décisions rendues par lui-même                     (</w:t>
      </w:r>
      <w:proofErr w:type="spellStart"/>
      <w:r w:rsidRPr="00A63A9D">
        <w:rPr>
          <w:rFonts w:ascii="Arial" w:hAnsi="Arial" w:cs="Arial"/>
        </w:rPr>
        <w:t>القرارات</w:t>
      </w:r>
      <w:proofErr w:type="spellEnd"/>
      <w:r>
        <w:rPr>
          <w:rFonts w:ascii="Arial" w:hAnsi="Arial" w:cs="Arial"/>
        </w:rPr>
        <w:t xml:space="preserve"> </w:t>
      </w:r>
      <w:proofErr w:type="spellStart"/>
      <w:r w:rsidRPr="00A63A9D">
        <w:rPr>
          <w:rFonts w:ascii="Arial" w:hAnsi="Arial" w:cs="Arial"/>
        </w:rPr>
        <w:t>تنفيذ</w:t>
      </w:r>
      <w:proofErr w:type="spellEnd"/>
      <w:r>
        <w:rPr>
          <w:rFonts w:ascii="Arial" w:hAnsi="Arial" w:cs="Arial"/>
        </w:rPr>
        <w:t xml:space="preserve"> </w:t>
      </w:r>
      <w:proofErr w:type="spellStart"/>
      <w:r w:rsidRPr="00A63A9D">
        <w:rPr>
          <w:rFonts w:ascii="Arial" w:hAnsi="Arial" w:cs="Arial"/>
        </w:rPr>
        <w:t>صعوبة</w:t>
      </w:r>
      <w:proofErr w:type="spellEnd"/>
      <w:r>
        <w:t>)</w:t>
      </w:r>
    </w:p>
    <w:p w:rsidR="00A63A9D" w:rsidRDefault="00A63A9D" w:rsidP="00A63A9D">
      <w:pPr>
        <w:pStyle w:val="Paragraphedeliste"/>
        <w:numPr>
          <w:ilvl w:val="0"/>
          <w:numId w:val="12"/>
        </w:numPr>
      </w:pPr>
      <w:r>
        <w:t xml:space="preserve"> </w:t>
      </w:r>
      <w:r w:rsidR="00896C02">
        <w:t>En matière du sur</w:t>
      </w:r>
      <w:r w:rsidR="00576D7F">
        <w:t>s</w:t>
      </w:r>
      <w:r w:rsidR="00896C02">
        <w:t>i</w:t>
      </w:r>
      <w:r w:rsidR="00576D7F">
        <w:t>s</w:t>
      </w:r>
      <w:r w:rsidR="00896C02">
        <w:t xml:space="preserve"> à l’exécution  </w:t>
      </w:r>
      <w:r w:rsidR="00576D7F">
        <w:t>des jugements (</w:t>
      </w:r>
      <w:proofErr w:type="spellStart"/>
      <w:r w:rsidR="00576D7F" w:rsidRPr="00576D7F">
        <w:rPr>
          <w:rFonts w:ascii="Arial" w:hAnsi="Arial" w:cs="Arial"/>
        </w:rPr>
        <w:t>الأحكام</w:t>
      </w:r>
      <w:proofErr w:type="spellEnd"/>
      <w:r w:rsidR="00576D7F">
        <w:rPr>
          <w:rFonts w:ascii="Arial" w:hAnsi="Arial" w:cs="Arial"/>
        </w:rPr>
        <w:t xml:space="preserve"> </w:t>
      </w:r>
      <w:proofErr w:type="spellStart"/>
      <w:r w:rsidR="00576D7F" w:rsidRPr="00576D7F">
        <w:rPr>
          <w:rFonts w:ascii="Arial" w:hAnsi="Arial" w:cs="Arial"/>
        </w:rPr>
        <w:t>توقيف</w:t>
      </w:r>
      <w:proofErr w:type="spellEnd"/>
      <w:r w:rsidR="00576D7F">
        <w:t>) rendus par le juge cantonal lorsqu’ils sont frappés d’une demande et tierce opposition (</w:t>
      </w:r>
      <w:r w:rsidR="00576D7F" w:rsidRPr="00576D7F">
        <w:rPr>
          <w:rFonts w:ascii="Arial" w:hAnsi="Arial" w:cs="Arial"/>
        </w:rPr>
        <w:t>الإعتراض</w:t>
      </w:r>
      <w:r w:rsidR="00576D7F">
        <w:t>)</w:t>
      </w:r>
    </w:p>
    <w:p w:rsidR="009D2DE5" w:rsidRDefault="000E25CB" w:rsidP="009D2DE5">
      <w:pPr>
        <w:pStyle w:val="Paragraphedeliste"/>
        <w:numPr>
          <w:ilvl w:val="0"/>
          <w:numId w:val="12"/>
        </w:numPr>
      </w:pPr>
      <w:r>
        <w:lastRenderedPageBreak/>
        <w:t xml:space="preserve">En matière de délivrance </w:t>
      </w:r>
      <w:r w:rsidR="009D2DE5">
        <w:t>de certains jugements qui font l’objet</w:t>
      </w:r>
      <w:r>
        <w:t xml:space="preserve"> de l’art 254 du CPCC (perdre la grosse du jugement)</w:t>
      </w:r>
      <w:r w:rsidR="009D2DE5">
        <w:t xml:space="preserve"> </w:t>
      </w:r>
      <w:r>
        <w:t xml:space="preserve">qui n’a pas été exécuté. </w:t>
      </w:r>
    </w:p>
    <w:p w:rsidR="00785EE1" w:rsidRDefault="00785EE1" w:rsidP="00785EE1">
      <w:pPr>
        <w:pStyle w:val="Paragraphedeliste"/>
      </w:pPr>
    </w:p>
    <w:p w:rsidR="009D2DE5" w:rsidRDefault="009D2DE5" w:rsidP="009D2DE5">
      <w:pPr>
        <w:pStyle w:val="Paragraphedeliste"/>
        <w:numPr>
          <w:ilvl w:val="0"/>
          <w:numId w:val="9"/>
        </w:numPr>
        <w:rPr>
          <w:b/>
          <w:sz w:val="24"/>
        </w:rPr>
      </w:pPr>
      <w:r w:rsidRPr="00C01DA6">
        <w:rPr>
          <w:b/>
          <w:sz w:val="24"/>
        </w:rPr>
        <w:t>La compétence du tribunal de 1</w:t>
      </w:r>
      <w:r w:rsidRPr="00927515">
        <w:rPr>
          <w:b/>
          <w:sz w:val="24"/>
          <w:vertAlign w:val="superscript"/>
        </w:rPr>
        <w:t>ere</w:t>
      </w:r>
      <w:r w:rsidRPr="00C01DA6">
        <w:rPr>
          <w:b/>
          <w:sz w:val="24"/>
        </w:rPr>
        <w:t xml:space="preserve"> instance :</w:t>
      </w:r>
    </w:p>
    <w:p w:rsidR="00C01DA6" w:rsidRDefault="00C01DA6" w:rsidP="00C01DA6">
      <w:r>
        <w:t xml:space="preserve">C’est l’art 40 du CPCC qui réglemente la compétence du TPI. Cette juridiction </w:t>
      </w:r>
      <w:r w:rsidR="00975719">
        <w:t>est une juridiction de droit commun qui a une compétence générale et qui lui permet de statuer en  1</w:t>
      </w:r>
      <w:r w:rsidR="00975719" w:rsidRPr="00927515">
        <w:rPr>
          <w:vertAlign w:val="superscript"/>
        </w:rPr>
        <w:t xml:space="preserve">er </w:t>
      </w:r>
      <w:r w:rsidR="00975719">
        <w:t>ressort de toutes les actions</w:t>
      </w:r>
      <w:r w:rsidR="00975719" w:rsidRPr="00975719">
        <w:rPr>
          <w:b/>
        </w:rPr>
        <w:t xml:space="preserve"> sauf</w:t>
      </w:r>
      <w:r>
        <w:t xml:space="preserve">  </w:t>
      </w:r>
      <w:r w:rsidR="00975719">
        <w:t>qui lui ont été retirée expressément par la loi.</w:t>
      </w:r>
    </w:p>
    <w:p w:rsidR="00927515" w:rsidRDefault="00975719" w:rsidP="00C01DA6">
      <w:r>
        <w:t>En outre, le TPI joue le rôle d’une juridiction d’appel puisqu’elle statue en 2</w:t>
      </w:r>
      <w:r w:rsidR="00927515" w:rsidRPr="00927515">
        <w:rPr>
          <w:vertAlign w:val="superscript"/>
        </w:rPr>
        <w:t>é</w:t>
      </w:r>
      <w:r w:rsidRPr="00927515">
        <w:rPr>
          <w:vertAlign w:val="superscript"/>
        </w:rPr>
        <w:t>me</w:t>
      </w:r>
      <w:r>
        <w:t xml:space="preserve"> degré sur les jugements rendus en 1</w:t>
      </w:r>
      <w:r w:rsidRPr="00975719">
        <w:rPr>
          <w:vertAlign w:val="superscript"/>
        </w:rPr>
        <w:t>er</w:t>
      </w:r>
      <w:r>
        <w:t xml:space="preserve"> </w:t>
      </w:r>
      <w:r w:rsidR="00927515">
        <w:t xml:space="preserve"> degré par les juges cantonaux de sa circonscription.</w:t>
      </w:r>
    </w:p>
    <w:p w:rsidR="00927515" w:rsidRDefault="00927515" w:rsidP="00C01DA6">
      <w:r>
        <w:t>Par ailleurs, il faut noter que le TPI statue également sur toutes les actions mobilières dont le montant mis en jeu dépasse 7000dt.</w:t>
      </w:r>
    </w:p>
    <w:p w:rsidR="00927515" w:rsidRDefault="00927515" w:rsidP="00927515">
      <w:pPr>
        <w:pStyle w:val="Paragraphedeliste"/>
        <w:numPr>
          <w:ilvl w:val="0"/>
          <w:numId w:val="9"/>
        </w:numPr>
        <w:rPr>
          <w:b/>
          <w:sz w:val="24"/>
        </w:rPr>
      </w:pPr>
      <w:r w:rsidRPr="00927515">
        <w:rPr>
          <w:b/>
          <w:sz w:val="24"/>
        </w:rPr>
        <w:t>La compétence</w:t>
      </w:r>
      <w:r>
        <w:rPr>
          <w:b/>
          <w:sz w:val="24"/>
        </w:rPr>
        <w:t xml:space="preserve"> des </w:t>
      </w:r>
      <w:r w:rsidRPr="00927515">
        <w:rPr>
          <w:b/>
          <w:sz w:val="24"/>
        </w:rPr>
        <w:t>cours d’appel</w:t>
      </w:r>
      <w:r>
        <w:rPr>
          <w:b/>
          <w:sz w:val="24"/>
        </w:rPr>
        <w:t> :</w:t>
      </w:r>
    </w:p>
    <w:p w:rsidR="00927515" w:rsidRPr="00927515" w:rsidRDefault="00927515" w:rsidP="00927515">
      <w:r>
        <w:t>La cours d’appel est une juridiction du 2</w:t>
      </w:r>
      <w:r w:rsidRPr="00927515">
        <w:rPr>
          <w:vertAlign w:val="superscript"/>
        </w:rPr>
        <w:t>éme</w:t>
      </w:r>
      <w:r>
        <w:t xml:space="preserve"> degré qui statue en second ressort sur les appels des jugements rendus en </w:t>
      </w:r>
      <w:r w:rsidRPr="00927515">
        <w:rPr>
          <w:vertAlign w:val="superscript"/>
        </w:rPr>
        <w:t xml:space="preserve">1er </w:t>
      </w:r>
      <w:r w:rsidR="00EB7FC3">
        <w:t>degré par les tribunaux de 1</w:t>
      </w:r>
      <w:r w:rsidR="00EB7FC3" w:rsidRPr="00EB7FC3">
        <w:rPr>
          <w:vertAlign w:val="superscript"/>
        </w:rPr>
        <w:t>ere</w:t>
      </w:r>
      <w:r w:rsidR="00EB7FC3">
        <w:t xml:space="preserve"> instance ainsi que sur l’appel des ordonnances du référer et les injonctions de payer rendu par le président du TPI et également sur l’appel des jugements rendu en 1</w:t>
      </w:r>
      <w:r w:rsidR="00EB7FC3" w:rsidRPr="00EB7FC3">
        <w:rPr>
          <w:vertAlign w:val="superscript"/>
        </w:rPr>
        <w:t>er</w:t>
      </w:r>
      <w:r w:rsidR="00EB7FC3">
        <w:t xml:space="preserve"> ressort par les conseils prud’hommes</w:t>
      </w:r>
      <w:r w:rsidR="005C0B25">
        <w:t xml:space="preserve"> ()</w:t>
      </w:r>
      <w:r w:rsidR="00EB7FC3">
        <w:t xml:space="preserve">. </w:t>
      </w:r>
    </w:p>
    <w:p w:rsidR="00927515" w:rsidRDefault="005C0B25" w:rsidP="005C0B25">
      <w:pPr>
        <w:pStyle w:val="Paragraphedeliste"/>
        <w:numPr>
          <w:ilvl w:val="0"/>
          <w:numId w:val="9"/>
        </w:numPr>
        <w:rPr>
          <w:b/>
          <w:sz w:val="24"/>
        </w:rPr>
      </w:pPr>
      <w:r w:rsidRPr="005C0B25">
        <w:rPr>
          <w:b/>
          <w:sz w:val="24"/>
        </w:rPr>
        <w:t>La compétence de la cours de cassation</w:t>
      </w:r>
      <w:r>
        <w:rPr>
          <w:b/>
          <w:sz w:val="24"/>
        </w:rPr>
        <w:t> :</w:t>
      </w:r>
    </w:p>
    <w:p w:rsidR="005C0B25" w:rsidRDefault="005C0B25" w:rsidP="005C0B25">
      <w:r>
        <w:t>La cours de cassation statue sur toutes les décisions rendues en dernier ressort</w:t>
      </w:r>
      <w:r w:rsidR="00AA60A0">
        <w:t xml:space="preserve"> (). C’est une juridiction suprême dont la décision consiste essentiellement à contrôler si les juges de fonds () ont respecté la loi.</w:t>
      </w:r>
    </w:p>
    <w:p w:rsidR="007D0B85" w:rsidRDefault="00AA60A0">
      <w:r>
        <w:t xml:space="preserve">En outre, la cours de cassation joue un rôle très important </w:t>
      </w:r>
      <w:r w:rsidR="005A1F2C">
        <w:t>pour unifier l’interprétation de la loi en cas de divergence entre les juridictions.</w:t>
      </w:r>
      <w:r w:rsidR="007D0B85">
        <w:br w:type="page"/>
      </w:r>
    </w:p>
    <w:p w:rsidR="00AA60A0" w:rsidRDefault="00EB6057" w:rsidP="00EB6057">
      <w:pPr>
        <w:jc w:val="center"/>
        <w:rPr>
          <w:b/>
          <w:i/>
          <w:sz w:val="40"/>
          <w:szCs w:val="40"/>
          <w:u w:val="double"/>
        </w:rPr>
      </w:pPr>
      <w:r w:rsidRPr="00EB6057">
        <w:rPr>
          <w:b/>
          <w:i/>
          <w:sz w:val="40"/>
          <w:szCs w:val="40"/>
          <w:u w:val="double"/>
        </w:rPr>
        <w:lastRenderedPageBreak/>
        <w:t>La procédure devant la juridiction</w:t>
      </w:r>
    </w:p>
    <w:p w:rsidR="00EB6057" w:rsidRPr="00EB6057" w:rsidRDefault="00EB6057" w:rsidP="00EB6057">
      <w:pPr>
        <w:pStyle w:val="Paragraphedeliste"/>
        <w:numPr>
          <w:ilvl w:val="0"/>
          <w:numId w:val="5"/>
        </w:numPr>
        <w:jc w:val="center"/>
        <w:rPr>
          <w:rFonts w:cstheme="minorHAnsi"/>
          <w:b/>
          <w:sz w:val="40"/>
          <w:szCs w:val="40"/>
          <w:u w:val="double"/>
        </w:rPr>
      </w:pPr>
      <w:r w:rsidRPr="00EB6057">
        <w:rPr>
          <w:rFonts w:cstheme="minorHAnsi"/>
          <w:b/>
          <w:sz w:val="40"/>
          <w:szCs w:val="40"/>
          <w:u w:val="double"/>
        </w:rPr>
        <w:t xml:space="preserve">Section 1 : la procédure devant les juge cantonaux </w:t>
      </w:r>
    </w:p>
    <w:sectPr w:rsidR="00EB6057" w:rsidRPr="00EB6057" w:rsidSect="00BE7C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4C01"/>
      </v:shape>
    </w:pict>
  </w:numPicBullet>
  <w:abstractNum w:abstractNumId="0">
    <w:nsid w:val="0EBF6790"/>
    <w:multiLevelType w:val="hybridMultilevel"/>
    <w:tmpl w:val="59DCE546"/>
    <w:lvl w:ilvl="0" w:tplc="040C0007">
      <w:start w:val="1"/>
      <w:numFmt w:val="bullet"/>
      <w:lvlText w:val=""/>
      <w:lvlPicBulletId w:val="0"/>
      <w:lvlJc w:val="left"/>
      <w:pPr>
        <w:ind w:left="14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914E3E"/>
    <w:multiLevelType w:val="hybridMultilevel"/>
    <w:tmpl w:val="AFE0B7C4"/>
    <w:lvl w:ilvl="0" w:tplc="6A1E7B56">
      <w:start w:val="1"/>
      <w:numFmt w:val="bullet"/>
      <w:lvlText w:val="-"/>
      <w:lvlJc w:val="left"/>
      <w:pPr>
        <w:ind w:left="1485"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CB5162"/>
    <w:multiLevelType w:val="hybridMultilevel"/>
    <w:tmpl w:val="B270E64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nsid w:val="250F7C25"/>
    <w:multiLevelType w:val="hybridMultilevel"/>
    <w:tmpl w:val="CB24D676"/>
    <w:lvl w:ilvl="0" w:tplc="6A1E7B5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C762E5"/>
    <w:multiLevelType w:val="hybridMultilevel"/>
    <w:tmpl w:val="827AFD8C"/>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33F208CE"/>
    <w:multiLevelType w:val="hybridMultilevel"/>
    <w:tmpl w:val="FC90A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E0037A"/>
    <w:multiLevelType w:val="hybridMultilevel"/>
    <w:tmpl w:val="3E6AE6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E2165"/>
    <w:multiLevelType w:val="hybridMultilevel"/>
    <w:tmpl w:val="4CF81B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60287A"/>
    <w:multiLevelType w:val="hybridMultilevel"/>
    <w:tmpl w:val="31840E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AC1C98"/>
    <w:multiLevelType w:val="hybridMultilevel"/>
    <w:tmpl w:val="D620089C"/>
    <w:lvl w:ilvl="0" w:tplc="040C0011">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nsid w:val="6D133728"/>
    <w:multiLevelType w:val="hybridMultilevel"/>
    <w:tmpl w:val="89981B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1C1915"/>
    <w:multiLevelType w:val="hybridMultilevel"/>
    <w:tmpl w:val="F45AC3FE"/>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9"/>
  </w:num>
  <w:num w:numId="2">
    <w:abstractNumId w:val="11"/>
  </w:num>
  <w:num w:numId="3">
    <w:abstractNumId w:val="7"/>
  </w:num>
  <w:num w:numId="4">
    <w:abstractNumId w:val="8"/>
  </w:num>
  <w:num w:numId="5">
    <w:abstractNumId w:val="2"/>
  </w:num>
  <w:num w:numId="6">
    <w:abstractNumId w:val="4"/>
  </w:num>
  <w:num w:numId="7">
    <w:abstractNumId w:val="1"/>
  </w:num>
  <w:num w:numId="8">
    <w:abstractNumId w:val="0"/>
  </w:num>
  <w:num w:numId="9">
    <w:abstractNumId w:val="10"/>
  </w:num>
  <w:num w:numId="10">
    <w:abstractNumId w:val="5"/>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71E2"/>
    <w:rsid w:val="000538C2"/>
    <w:rsid w:val="00062399"/>
    <w:rsid w:val="000E25CB"/>
    <w:rsid w:val="00171BA6"/>
    <w:rsid w:val="001A5401"/>
    <w:rsid w:val="001D5A89"/>
    <w:rsid w:val="00232581"/>
    <w:rsid w:val="00275F27"/>
    <w:rsid w:val="002F3A50"/>
    <w:rsid w:val="00313B37"/>
    <w:rsid w:val="00325DF8"/>
    <w:rsid w:val="0034537E"/>
    <w:rsid w:val="003531BE"/>
    <w:rsid w:val="00370FDF"/>
    <w:rsid w:val="003A246C"/>
    <w:rsid w:val="003D7ACF"/>
    <w:rsid w:val="004D6EF1"/>
    <w:rsid w:val="00576D7F"/>
    <w:rsid w:val="005902B3"/>
    <w:rsid w:val="005A1F2C"/>
    <w:rsid w:val="005C0B25"/>
    <w:rsid w:val="005D71E2"/>
    <w:rsid w:val="00603BAE"/>
    <w:rsid w:val="00656902"/>
    <w:rsid w:val="0069695B"/>
    <w:rsid w:val="006C0839"/>
    <w:rsid w:val="006E5540"/>
    <w:rsid w:val="00785EE1"/>
    <w:rsid w:val="00786D56"/>
    <w:rsid w:val="007A4A69"/>
    <w:rsid w:val="007B4E1A"/>
    <w:rsid w:val="007D0B85"/>
    <w:rsid w:val="007D3F3D"/>
    <w:rsid w:val="00842CCB"/>
    <w:rsid w:val="00885EC3"/>
    <w:rsid w:val="00896C02"/>
    <w:rsid w:val="00927515"/>
    <w:rsid w:val="00960FB6"/>
    <w:rsid w:val="00975719"/>
    <w:rsid w:val="009D2DE5"/>
    <w:rsid w:val="009D7E1C"/>
    <w:rsid w:val="009E3D17"/>
    <w:rsid w:val="009F46A8"/>
    <w:rsid w:val="00A63A9D"/>
    <w:rsid w:val="00A65620"/>
    <w:rsid w:val="00AA3AA4"/>
    <w:rsid w:val="00AA60A0"/>
    <w:rsid w:val="00B15BB6"/>
    <w:rsid w:val="00B402A5"/>
    <w:rsid w:val="00B43854"/>
    <w:rsid w:val="00B46AA9"/>
    <w:rsid w:val="00BE7CE0"/>
    <w:rsid w:val="00C01DA6"/>
    <w:rsid w:val="00C76309"/>
    <w:rsid w:val="00C778F0"/>
    <w:rsid w:val="00CD7D69"/>
    <w:rsid w:val="00D24E1D"/>
    <w:rsid w:val="00D364D1"/>
    <w:rsid w:val="00DB2900"/>
    <w:rsid w:val="00E11570"/>
    <w:rsid w:val="00E30D7F"/>
    <w:rsid w:val="00EA44E7"/>
    <w:rsid w:val="00EB6057"/>
    <w:rsid w:val="00EB7FC3"/>
    <w:rsid w:val="00F46870"/>
    <w:rsid w:val="00F86C29"/>
    <w:rsid w:val="00F87A3A"/>
    <w:rsid w:val="00FA18DF"/>
    <w:rsid w:val="00FC55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F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1226</Words>
  <Characters>6748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Daddou</dc:creator>
  <cp:lastModifiedBy>ZIED</cp:lastModifiedBy>
  <cp:revision>10</cp:revision>
  <dcterms:created xsi:type="dcterms:W3CDTF">2012-11-16T11:09:00Z</dcterms:created>
  <dcterms:modified xsi:type="dcterms:W3CDTF">2012-11-16T11:50:00Z</dcterms:modified>
</cp:coreProperties>
</file>