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D2" w:rsidRDefault="003A1DD2" w:rsidP="003A1DD2">
      <w:pPr>
        <w:pStyle w:val="Titre3"/>
        <w:spacing w:after="0"/>
        <w:rPr>
          <w:rFonts w:ascii="Georgia" w:eastAsia="Calibri" w:hAnsi="Georgia"/>
          <w:sz w:val="32"/>
          <w:szCs w:val="32"/>
        </w:rPr>
      </w:pPr>
    </w:p>
    <w:p w:rsidR="00FD73E4" w:rsidRDefault="00E12DA5" w:rsidP="003A1DD2">
      <w:pPr>
        <w:pStyle w:val="Titre3"/>
        <w:spacing w:after="0"/>
        <w:ind w:left="1416"/>
        <w:jc w:val="center"/>
        <w:rPr>
          <w:rFonts w:ascii="Georgia" w:eastAsia="Calibri" w:hAnsi="Georgia"/>
          <w:sz w:val="32"/>
          <w:szCs w:val="32"/>
        </w:rPr>
      </w:pPr>
      <w:r w:rsidRPr="00E12DA5">
        <w:rPr>
          <w:rFonts w:ascii="Georgia,Bold" w:hAnsi="Georgia,Bold" w:cs="Georgia,Bold"/>
          <w:b w:val="0"/>
          <w:bCs w:val="0"/>
          <w:noProof/>
          <w:sz w:val="36"/>
          <w:szCs w:val="3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5.65pt;margin-top:50.65pt;width:151.5pt;height:117pt;rotation:-360;z-index:25166028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7" inset="3.6pt,,3.6pt">
              <w:txbxContent>
                <w:p w:rsidR="003A1DD2" w:rsidRDefault="00E12DA5" w:rsidP="003A1DD2">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sidRPr="00E12DA5">
                    <w:rPr>
                      <w:rFonts w:ascii="Georgia,Bold" w:hAnsi="Georgia,Bold" w:cs="Georgia,Bold"/>
                      <w:sz w:val="36"/>
                      <w:szCs w:val="3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25.25pt;height:90pt" fillcolor="#00b050" strokecolor="#4e6128 [1606]" strokeweight="1.5pt">
                        <v:shadow color="#868686"/>
                        <v:textpath style="font-family:&quot;Arial Black&quot;;font-size:28pt;v-text-kern:t" trim="t" fitpath="t" string="corrigé indicatif"/>
                      </v:shape>
                    </w:pict>
                  </w:r>
                </w:p>
              </w:txbxContent>
            </v:textbox>
            <w10:wrap type="square" anchorx="margin" anchory="margin"/>
          </v:shape>
        </w:pict>
      </w:r>
      <w:r w:rsidR="00FD73E4">
        <w:rPr>
          <w:rFonts w:ascii="Georgia" w:eastAsia="Calibri" w:hAnsi="Georgia"/>
          <w:sz w:val="32"/>
          <w:szCs w:val="32"/>
        </w:rPr>
        <w:t>CERTIFICAT D’ETUDES SUPERIEURES</w:t>
      </w:r>
    </w:p>
    <w:p w:rsidR="00FD73E4" w:rsidRDefault="00FD73E4" w:rsidP="003A1DD2">
      <w:pPr>
        <w:pStyle w:val="Titre3"/>
        <w:spacing w:before="0"/>
        <w:jc w:val="center"/>
        <w:rPr>
          <w:rFonts w:ascii="Georgia" w:eastAsia="Calibri" w:hAnsi="Georgia"/>
          <w:sz w:val="32"/>
          <w:szCs w:val="32"/>
        </w:rPr>
      </w:pPr>
      <w:r>
        <w:rPr>
          <w:rFonts w:ascii="Georgia" w:eastAsia="Calibri" w:hAnsi="Georgia"/>
          <w:sz w:val="32"/>
          <w:szCs w:val="32"/>
        </w:rPr>
        <w:t>DE REVISION COMPTABLE</w:t>
      </w:r>
    </w:p>
    <w:p w:rsidR="00FD73E4" w:rsidRDefault="00FD73E4" w:rsidP="00FD73E4">
      <w:pPr>
        <w:jc w:val="center"/>
        <w:rPr>
          <w:rFonts w:ascii="Georgia" w:hAnsi="Georgia"/>
          <w:b/>
          <w:bCs/>
          <w:i/>
        </w:rPr>
      </w:pPr>
      <w:r>
        <w:rPr>
          <w:rFonts w:ascii="Georgia" w:hAnsi="Georgia"/>
          <w:b/>
          <w:bCs/>
          <w:i/>
        </w:rPr>
        <w:t>(Nouveau régime)</w:t>
      </w:r>
    </w:p>
    <w:p w:rsidR="00FD73E4" w:rsidRPr="00FD73E4" w:rsidRDefault="00FD73E4" w:rsidP="00FD73E4">
      <w:pPr>
        <w:pStyle w:val="Titre3"/>
        <w:spacing w:before="0" w:after="120"/>
        <w:jc w:val="center"/>
        <w:rPr>
          <w:rFonts w:ascii="Georgia" w:eastAsia="Calibri" w:hAnsi="Georgia"/>
          <w:sz w:val="28"/>
          <w:szCs w:val="28"/>
        </w:rPr>
      </w:pPr>
      <w:r>
        <w:rPr>
          <w:rFonts w:ascii="Georgia" w:eastAsia="Calibri" w:hAnsi="Georgia"/>
          <w:sz w:val="28"/>
          <w:szCs w:val="28"/>
        </w:rPr>
        <w:t>Session de décembre 2013</w:t>
      </w:r>
    </w:p>
    <w:p w:rsidR="00FD73E4" w:rsidRDefault="00FD73E4" w:rsidP="005206F5">
      <w:pPr>
        <w:autoSpaceDE w:val="0"/>
        <w:autoSpaceDN w:val="0"/>
        <w:adjustRightInd w:val="0"/>
        <w:ind w:left="2124" w:firstLine="708"/>
        <w:rPr>
          <w:rFonts w:ascii="Georgia,Bold" w:hAnsi="Georgia,Bold" w:cs="Georgia,Bold"/>
          <w:b/>
          <w:bCs/>
          <w:sz w:val="36"/>
          <w:szCs w:val="36"/>
        </w:rPr>
      </w:pPr>
      <w:r>
        <w:rPr>
          <w:rFonts w:ascii="Georgia,Bold" w:hAnsi="Georgia,Bold" w:cs="Georgia,Bold"/>
          <w:b/>
          <w:bCs/>
          <w:sz w:val="36"/>
          <w:szCs w:val="36"/>
        </w:rPr>
        <w:t xml:space="preserve">EPREUVE DE FISCALITE </w:t>
      </w:r>
    </w:p>
    <w:p w:rsidR="004D78AC" w:rsidRDefault="00FD73E4">
      <w:r w:rsidRPr="00FD73E4">
        <w:rPr>
          <w:rFonts w:asciiTheme="majorBidi" w:hAnsiTheme="majorBidi" w:cstheme="majorBidi"/>
          <w:sz w:val="28"/>
          <w:szCs w:val="28"/>
        </w:rPr>
        <w:t xml:space="preserve">I </w:t>
      </w:r>
      <w:r>
        <w:t xml:space="preserve">– </w:t>
      </w:r>
    </w:p>
    <w:p w:rsidR="00FD73E4" w:rsidRPr="00A7277F" w:rsidRDefault="00E12DA5" w:rsidP="005206F5">
      <w:pPr>
        <w:spacing w:before="120" w:after="120" w:line="288" w:lineRule="auto"/>
        <w:jc w:val="both"/>
        <w:rPr>
          <w:b/>
          <w:bCs/>
          <w:sz w:val="25"/>
          <w:szCs w:val="25"/>
        </w:rPr>
      </w:pPr>
      <w:r w:rsidRPr="00E12DA5">
        <w:rPr>
          <w:noProof/>
          <w:sz w:val="25"/>
          <w:szCs w:val="25"/>
          <w:lang w:eastAsia="fr-FR"/>
        </w:rPr>
        <w:pict>
          <v:oval id="_x0000_s1030" style="position:absolute;left:0;text-align:left;margin-left:102.4pt;margin-top:41.3pt;width:28.5pt;height:22.5pt;z-index:251661312" filled="f" fillcolor="white [3201]" strokecolor="black [3200]" strokeweight="2.5pt">
            <v:shadow color="#868686"/>
          </v:oval>
        </w:pict>
      </w:r>
      <w:r w:rsidR="00FD73E4" w:rsidRPr="00A7277F">
        <w:rPr>
          <w:b/>
          <w:bCs/>
          <w:sz w:val="25"/>
          <w:szCs w:val="25"/>
        </w:rPr>
        <w:t xml:space="preserve">1 – Les avantages fiscaux dont </w:t>
      </w:r>
      <w:r w:rsidR="00994757">
        <w:rPr>
          <w:b/>
          <w:bCs/>
          <w:sz w:val="25"/>
          <w:szCs w:val="25"/>
        </w:rPr>
        <w:t xml:space="preserve">pourraient </w:t>
      </w:r>
      <w:r w:rsidR="00FD73E4" w:rsidRPr="00A7277F">
        <w:rPr>
          <w:b/>
          <w:bCs/>
          <w:sz w:val="25"/>
          <w:szCs w:val="25"/>
        </w:rPr>
        <w:t>bénéfici</w:t>
      </w:r>
      <w:r w:rsidR="005206F5">
        <w:rPr>
          <w:b/>
          <w:bCs/>
          <w:sz w:val="25"/>
          <w:szCs w:val="25"/>
        </w:rPr>
        <w:t>er</w:t>
      </w:r>
      <w:r w:rsidR="00FD73E4" w:rsidRPr="00A7277F">
        <w:rPr>
          <w:b/>
          <w:bCs/>
          <w:sz w:val="25"/>
          <w:szCs w:val="25"/>
        </w:rPr>
        <w:t xml:space="preserve"> « la STPM » et les souscripteurs lors de la première augmentation du capital social </w:t>
      </w:r>
    </w:p>
    <w:p w:rsidR="00FD73E4" w:rsidRPr="00A7277F" w:rsidRDefault="00FD73E4" w:rsidP="00A446CF">
      <w:pPr>
        <w:pStyle w:val="Paragraphedeliste"/>
        <w:numPr>
          <w:ilvl w:val="0"/>
          <w:numId w:val="1"/>
        </w:numPr>
        <w:spacing w:before="120" w:after="120" w:line="288" w:lineRule="auto"/>
        <w:jc w:val="both"/>
        <w:rPr>
          <w:sz w:val="25"/>
          <w:szCs w:val="25"/>
        </w:rPr>
      </w:pPr>
      <w:r w:rsidRPr="00A7277F">
        <w:rPr>
          <w:sz w:val="25"/>
          <w:szCs w:val="25"/>
        </w:rPr>
        <w:t xml:space="preserve">La « STPM » : </w:t>
      </w:r>
      <w:r w:rsidR="00586B26">
        <w:rPr>
          <w:sz w:val="25"/>
          <w:szCs w:val="25"/>
        </w:rPr>
        <w:t xml:space="preserve"> </w:t>
      </w:r>
      <w:r w:rsidR="00586B26" w:rsidRPr="00586B26">
        <w:rPr>
          <w:b/>
          <w:bCs/>
          <w:sz w:val="32"/>
          <w:szCs w:val="32"/>
        </w:rPr>
        <w:t>1</w:t>
      </w:r>
    </w:p>
    <w:p w:rsidR="00306C93" w:rsidRPr="00A7277F" w:rsidRDefault="00306C93" w:rsidP="00A446CF">
      <w:pPr>
        <w:pStyle w:val="Paragraphedeliste"/>
        <w:spacing w:before="120" w:after="120" w:line="288" w:lineRule="auto"/>
        <w:jc w:val="both"/>
        <w:rPr>
          <w:sz w:val="25"/>
          <w:szCs w:val="25"/>
        </w:rPr>
      </w:pPr>
      <w:r w:rsidRPr="00A7277F">
        <w:rPr>
          <w:sz w:val="25"/>
          <w:szCs w:val="25"/>
        </w:rPr>
        <w:t xml:space="preserve">L’augmentation du capital n’ouvre droit au profit de la « STPM » à aucun avantage fiscal. L’introduction en bourse par l’OPS, couvre 30% de l’augmentation et non 30% du capital social, (le taux d’ouverture du capital au public doit être au moins égal à 30%). La société ne peut pas bénéficier du taux réduit de l’IS à 20% pendant 5 ans à compter de l’année de l’admission, conformément aux dispositions de la loi </w:t>
      </w:r>
      <w:r w:rsidR="00C10AE5" w:rsidRPr="00A7277F">
        <w:rPr>
          <w:sz w:val="25"/>
          <w:szCs w:val="25"/>
        </w:rPr>
        <w:t>n° 2010-29 du 7 juin 2010 relative à l’encouragement des entreprises à l’admission de leurs actions à la bourse.</w:t>
      </w:r>
    </w:p>
    <w:p w:rsidR="00C10AE5" w:rsidRPr="00A7277F" w:rsidRDefault="00C10AE5" w:rsidP="00A446CF">
      <w:pPr>
        <w:pStyle w:val="Paragraphedeliste"/>
        <w:spacing w:before="120" w:after="120" w:line="288" w:lineRule="auto"/>
        <w:jc w:val="both"/>
        <w:rPr>
          <w:sz w:val="25"/>
          <w:szCs w:val="25"/>
        </w:rPr>
      </w:pPr>
    </w:p>
    <w:p w:rsidR="00C10AE5" w:rsidRPr="00A7277F" w:rsidRDefault="00E12DA5" w:rsidP="00A446CF">
      <w:pPr>
        <w:pStyle w:val="Paragraphedeliste"/>
        <w:numPr>
          <w:ilvl w:val="0"/>
          <w:numId w:val="1"/>
        </w:numPr>
        <w:spacing w:before="120" w:after="120" w:line="288" w:lineRule="auto"/>
        <w:jc w:val="both"/>
        <w:rPr>
          <w:sz w:val="25"/>
          <w:szCs w:val="25"/>
        </w:rPr>
      </w:pPr>
      <w:r>
        <w:rPr>
          <w:noProof/>
          <w:sz w:val="25"/>
          <w:szCs w:val="25"/>
          <w:lang w:eastAsia="fr-FR"/>
        </w:rPr>
        <w:pict>
          <v:oval id="_x0000_s1031" style="position:absolute;left:0;text-align:left;margin-left:130.9pt;margin-top:.5pt;width:28.5pt;height:22.5pt;z-index:251662336" filled="f" fillcolor="white [3201]" strokecolor="black [3200]" strokeweight="2.5pt">
            <v:shadow color="#868686"/>
          </v:oval>
        </w:pict>
      </w:r>
      <w:r w:rsidR="00C10AE5" w:rsidRPr="00A7277F">
        <w:rPr>
          <w:sz w:val="25"/>
          <w:szCs w:val="25"/>
        </w:rPr>
        <w:t>Les souscripteurs :</w:t>
      </w:r>
      <w:r w:rsidR="006E5F20">
        <w:rPr>
          <w:sz w:val="25"/>
          <w:szCs w:val="25"/>
        </w:rPr>
        <w:t xml:space="preserve">   </w:t>
      </w:r>
      <w:r w:rsidR="006E5F20" w:rsidRPr="006E5F20">
        <w:rPr>
          <w:b/>
          <w:bCs/>
          <w:sz w:val="32"/>
          <w:szCs w:val="32"/>
        </w:rPr>
        <w:t>1</w:t>
      </w:r>
    </w:p>
    <w:p w:rsidR="00C10AE5" w:rsidRPr="00A7277F" w:rsidRDefault="00C10AE5" w:rsidP="00A446CF">
      <w:pPr>
        <w:pStyle w:val="Paragraphedeliste"/>
        <w:spacing w:before="120" w:after="120" w:line="288" w:lineRule="auto"/>
        <w:jc w:val="both"/>
        <w:rPr>
          <w:sz w:val="25"/>
          <w:szCs w:val="25"/>
        </w:rPr>
      </w:pPr>
      <w:r w:rsidRPr="00A7277F">
        <w:rPr>
          <w:sz w:val="25"/>
          <w:szCs w:val="25"/>
        </w:rPr>
        <w:t>Les souscripteurs bénéficient :</w:t>
      </w:r>
    </w:p>
    <w:p w:rsidR="00C10AE5" w:rsidRPr="00A7277F" w:rsidRDefault="00C10AE5" w:rsidP="00A446CF">
      <w:pPr>
        <w:pStyle w:val="Paragraphedeliste"/>
        <w:numPr>
          <w:ilvl w:val="0"/>
          <w:numId w:val="2"/>
        </w:numPr>
        <w:spacing w:before="120" w:after="120" w:line="288" w:lineRule="auto"/>
        <w:jc w:val="both"/>
        <w:rPr>
          <w:sz w:val="25"/>
          <w:szCs w:val="25"/>
        </w:rPr>
      </w:pPr>
      <w:r w:rsidRPr="00A7277F">
        <w:rPr>
          <w:sz w:val="25"/>
          <w:szCs w:val="25"/>
        </w:rPr>
        <w:t>Du dégrèvement financier au titre des bénéfices et revenus réinvestis dans la limite de 35% des revenus ou bénéfices nets soumis à l’IR ou à l’IS, sous réserve du minimum d’impôt. Le bénéfice de ce dégrèvement est subordonné à :</w:t>
      </w:r>
    </w:p>
    <w:p w:rsidR="00C10AE5" w:rsidRPr="00A7277F" w:rsidRDefault="00C10AE5" w:rsidP="00A446CF">
      <w:pPr>
        <w:pStyle w:val="Paragraphedeliste"/>
        <w:spacing w:before="120" w:after="120" w:line="288" w:lineRule="auto"/>
        <w:ind w:left="1080"/>
        <w:jc w:val="both"/>
        <w:rPr>
          <w:sz w:val="25"/>
          <w:szCs w:val="25"/>
        </w:rPr>
      </w:pPr>
      <w:r w:rsidRPr="00A7277F">
        <w:rPr>
          <w:sz w:val="25"/>
          <w:szCs w:val="25"/>
        </w:rPr>
        <w:sym w:font="Wingdings 2" w:char="F050"/>
      </w:r>
      <w:r w:rsidRPr="00A7277F">
        <w:rPr>
          <w:sz w:val="25"/>
          <w:szCs w:val="25"/>
        </w:rPr>
        <w:t xml:space="preserve"> La tenue d’une comptabilité régulière et probante conformément au système comptable des entreprises, et ce pour les sociétés et les personnes exerçant une activité commerciale ou non commerciale telle que définie par le code de l’IRPP et de l’IS.</w:t>
      </w:r>
    </w:p>
    <w:p w:rsidR="00C10AE5" w:rsidRPr="00A7277F" w:rsidRDefault="00C10AE5" w:rsidP="00A446CF">
      <w:pPr>
        <w:pStyle w:val="Paragraphedeliste"/>
        <w:spacing w:before="120" w:after="120" w:line="288" w:lineRule="auto"/>
        <w:ind w:left="1080"/>
        <w:jc w:val="both"/>
        <w:rPr>
          <w:sz w:val="25"/>
          <w:szCs w:val="25"/>
        </w:rPr>
      </w:pPr>
      <w:r w:rsidRPr="00A7277F">
        <w:rPr>
          <w:sz w:val="25"/>
          <w:szCs w:val="25"/>
        </w:rPr>
        <w:sym w:font="Wingdings 2" w:char="F050"/>
      </w:r>
      <w:r w:rsidRPr="00A7277F">
        <w:rPr>
          <w:sz w:val="25"/>
          <w:szCs w:val="25"/>
        </w:rPr>
        <w:t xml:space="preserve"> L’émission de nouvelles actions ;</w:t>
      </w:r>
    </w:p>
    <w:p w:rsidR="00C10AE5" w:rsidRPr="00A7277F" w:rsidRDefault="00C10AE5" w:rsidP="00A446CF">
      <w:pPr>
        <w:pStyle w:val="Paragraphedeliste"/>
        <w:spacing w:before="120" w:after="120" w:line="288" w:lineRule="auto"/>
        <w:ind w:left="1080"/>
        <w:jc w:val="both"/>
        <w:rPr>
          <w:sz w:val="25"/>
          <w:szCs w:val="25"/>
        </w:rPr>
      </w:pPr>
      <w:r w:rsidRPr="00A7277F">
        <w:rPr>
          <w:sz w:val="25"/>
          <w:szCs w:val="25"/>
        </w:rPr>
        <w:sym w:font="Wingdings 2" w:char="F050"/>
      </w:r>
      <w:r w:rsidRPr="00A7277F">
        <w:rPr>
          <w:sz w:val="25"/>
          <w:szCs w:val="25"/>
        </w:rPr>
        <w:t xml:space="preserve"> La non réduction du capital pendant une période de 5 ans à partir du premier janvier de l’année qui suit celle de la libération du capital, sauf dans le cas de réduction pour résorption des pertes ;</w:t>
      </w:r>
    </w:p>
    <w:p w:rsidR="00A446CF" w:rsidRPr="00A7277F" w:rsidRDefault="00A446CF" w:rsidP="00A446CF">
      <w:pPr>
        <w:pStyle w:val="Paragraphedeliste"/>
        <w:spacing w:before="120" w:after="120" w:line="288" w:lineRule="auto"/>
        <w:ind w:left="1080"/>
        <w:jc w:val="both"/>
        <w:rPr>
          <w:sz w:val="25"/>
          <w:szCs w:val="25"/>
        </w:rPr>
      </w:pPr>
      <w:r w:rsidRPr="00A7277F">
        <w:rPr>
          <w:sz w:val="25"/>
          <w:szCs w:val="25"/>
        </w:rPr>
        <w:lastRenderedPageBreak/>
        <w:sym w:font="Wingdings 2" w:char="F050"/>
      </w:r>
      <w:r w:rsidRPr="00A7277F">
        <w:rPr>
          <w:sz w:val="25"/>
          <w:szCs w:val="25"/>
        </w:rPr>
        <w:t xml:space="preserve"> La présentation lors du dépôt de la déclaration de l’impôt d’une attestation de libération du capital souscrit</w:t>
      </w:r>
    </w:p>
    <w:p w:rsidR="00A446CF" w:rsidRPr="00A7277F" w:rsidRDefault="00A446CF" w:rsidP="00A446CF">
      <w:pPr>
        <w:pStyle w:val="Paragraphedeliste"/>
        <w:spacing w:before="120" w:after="120" w:line="288" w:lineRule="auto"/>
        <w:ind w:left="1080"/>
        <w:jc w:val="both"/>
        <w:rPr>
          <w:sz w:val="25"/>
          <w:szCs w:val="25"/>
        </w:rPr>
      </w:pPr>
      <w:r w:rsidRPr="00A7277F">
        <w:rPr>
          <w:sz w:val="25"/>
          <w:szCs w:val="25"/>
        </w:rPr>
        <w:sym w:font="Wingdings 2" w:char="F050"/>
      </w:r>
      <w:r w:rsidRPr="00A7277F">
        <w:rPr>
          <w:sz w:val="25"/>
          <w:szCs w:val="25"/>
        </w:rPr>
        <w:t xml:space="preserve"> La non cession des actions ayant donné lieu au bénéfice de la déduction, avant la fin des deux années suivant celle de la libération du capital ;</w:t>
      </w:r>
    </w:p>
    <w:p w:rsidR="00A446CF" w:rsidRPr="00A7277F" w:rsidRDefault="00A446CF" w:rsidP="00A446CF">
      <w:pPr>
        <w:pStyle w:val="Paragraphedeliste"/>
        <w:spacing w:before="120" w:after="120" w:line="288" w:lineRule="auto"/>
        <w:ind w:left="1080"/>
        <w:jc w:val="both"/>
        <w:rPr>
          <w:sz w:val="25"/>
          <w:szCs w:val="25"/>
        </w:rPr>
      </w:pPr>
      <w:r w:rsidRPr="00A7277F">
        <w:rPr>
          <w:sz w:val="25"/>
          <w:szCs w:val="25"/>
        </w:rPr>
        <w:sym w:font="Wingdings 2" w:char="F050"/>
      </w:r>
      <w:r w:rsidRPr="00A7277F">
        <w:rPr>
          <w:sz w:val="25"/>
          <w:szCs w:val="25"/>
        </w:rPr>
        <w:t xml:space="preserve"> La non stipulation dans les conventions signées entre les souscripteurs et la société de garanties en dehors du projet ou de rémunérations qui ne sont pas liées aux résultats du projet objet de l’opération de souscription ;</w:t>
      </w:r>
    </w:p>
    <w:p w:rsidR="00A446CF" w:rsidRPr="00A7277F" w:rsidRDefault="00A446CF" w:rsidP="00A446CF">
      <w:pPr>
        <w:pStyle w:val="Paragraphedeliste"/>
        <w:spacing w:before="120" w:after="120" w:line="288" w:lineRule="auto"/>
        <w:ind w:left="1080"/>
        <w:jc w:val="both"/>
        <w:rPr>
          <w:sz w:val="25"/>
          <w:szCs w:val="25"/>
        </w:rPr>
      </w:pPr>
      <w:r w:rsidRPr="00A7277F">
        <w:rPr>
          <w:sz w:val="25"/>
          <w:szCs w:val="25"/>
        </w:rPr>
        <w:sym w:font="Wingdings 2" w:char="F050"/>
      </w:r>
      <w:r w:rsidRPr="00A7277F">
        <w:rPr>
          <w:sz w:val="25"/>
          <w:szCs w:val="25"/>
        </w:rPr>
        <w:t xml:space="preserve"> L’inscription des bénéfices ou des revenus réinvestis dans un compte spécial au passif du bilan non distribuable sauf en cas de cession des actions ayant donné lieu au bénéfice de la déduction, et ce, pour les sociétés et les personnes exerçant une activité commerciale ou une profession non commerciale telle que définie par le code de l’IRPP et de l’IS.</w:t>
      </w:r>
    </w:p>
    <w:p w:rsidR="00C10AE5" w:rsidRPr="00A7277F" w:rsidRDefault="00C10AE5" w:rsidP="00A446CF">
      <w:pPr>
        <w:pStyle w:val="Paragraphedeliste"/>
        <w:spacing w:before="120" w:after="120" w:line="288" w:lineRule="auto"/>
        <w:ind w:left="1080"/>
        <w:jc w:val="both"/>
        <w:rPr>
          <w:sz w:val="25"/>
          <w:szCs w:val="25"/>
        </w:rPr>
      </w:pPr>
      <w:r w:rsidRPr="00A7277F">
        <w:rPr>
          <w:sz w:val="25"/>
          <w:szCs w:val="25"/>
        </w:rPr>
        <w:t xml:space="preserve"> </w:t>
      </w:r>
    </w:p>
    <w:p w:rsidR="00C10AE5" w:rsidRPr="00994757" w:rsidRDefault="00C10AE5" w:rsidP="005206F5">
      <w:pPr>
        <w:pStyle w:val="Paragraphedeliste"/>
        <w:numPr>
          <w:ilvl w:val="0"/>
          <w:numId w:val="2"/>
        </w:numPr>
        <w:spacing w:before="120" w:after="120" w:line="288" w:lineRule="auto"/>
        <w:jc w:val="both"/>
        <w:rPr>
          <w:color w:val="632423" w:themeColor="accent2" w:themeShade="80"/>
          <w:sz w:val="25"/>
          <w:szCs w:val="25"/>
        </w:rPr>
      </w:pPr>
      <w:r w:rsidRPr="00994757">
        <w:rPr>
          <w:color w:val="632423" w:themeColor="accent2" w:themeShade="80"/>
          <w:sz w:val="25"/>
          <w:szCs w:val="25"/>
        </w:rPr>
        <w:t>D</w:t>
      </w:r>
      <w:r w:rsidR="00A446CF" w:rsidRPr="00994757">
        <w:rPr>
          <w:color w:val="632423" w:themeColor="accent2" w:themeShade="80"/>
          <w:sz w:val="25"/>
          <w:szCs w:val="25"/>
        </w:rPr>
        <w:t xml:space="preserve">e l’affectation des actions souscrites à un compte d’épargne action </w:t>
      </w:r>
      <w:r w:rsidR="00972D0B" w:rsidRPr="00994757">
        <w:rPr>
          <w:color w:val="632423" w:themeColor="accent2" w:themeShade="80"/>
          <w:sz w:val="25"/>
          <w:szCs w:val="25"/>
        </w:rPr>
        <w:t xml:space="preserve">(CEA) déductible du revenu imposable (donc </w:t>
      </w:r>
      <w:r w:rsidR="005411F4">
        <w:rPr>
          <w:color w:val="632423" w:themeColor="accent2" w:themeShade="80"/>
          <w:sz w:val="25"/>
          <w:szCs w:val="25"/>
        </w:rPr>
        <w:t xml:space="preserve">cet </w:t>
      </w:r>
      <w:r w:rsidR="00972D0B" w:rsidRPr="00994757">
        <w:rPr>
          <w:color w:val="632423" w:themeColor="accent2" w:themeShade="80"/>
          <w:sz w:val="25"/>
          <w:szCs w:val="25"/>
        </w:rPr>
        <w:t>avantage ne concernant que les personnes physiques soumises à l’IR), dans la limite de 50.000 dinars et sous réserve du minimum d’impôt. Le bénéfice de cet avantage est subordonné à :</w:t>
      </w:r>
    </w:p>
    <w:p w:rsidR="00972D0B" w:rsidRPr="00994757" w:rsidRDefault="00972D0B" w:rsidP="00972D0B">
      <w:pPr>
        <w:pStyle w:val="Paragraphedeliste"/>
        <w:spacing w:before="120" w:after="120" w:line="288" w:lineRule="auto"/>
        <w:ind w:left="1080"/>
        <w:jc w:val="both"/>
        <w:rPr>
          <w:color w:val="632423" w:themeColor="accent2" w:themeShade="80"/>
          <w:sz w:val="25"/>
          <w:szCs w:val="25"/>
        </w:rPr>
      </w:pPr>
      <w:r w:rsidRPr="00994757">
        <w:rPr>
          <w:color w:val="632423" w:themeColor="accent2" w:themeShade="80"/>
          <w:sz w:val="25"/>
          <w:szCs w:val="25"/>
        </w:rPr>
        <w:sym w:font="Wingdings 2" w:char="F050"/>
      </w:r>
      <w:r w:rsidRPr="00994757">
        <w:rPr>
          <w:color w:val="632423" w:themeColor="accent2" w:themeShade="80"/>
          <w:sz w:val="25"/>
          <w:szCs w:val="25"/>
        </w:rPr>
        <w:t xml:space="preserve"> La production lors du dépôt de la déclaration annuelle de l’impôt d’un certificat de dépôt délivré par l’établissement auprès duquel est ouvert le compte épargne en actions.</w:t>
      </w:r>
    </w:p>
    <w:p w:rsidR="00972D0B" w:rsidRDefault="00972D0B" w:rsidP="00972D0B">
      <w:pPr>
        <w:pStyle w:val="Paragraphedeliste"/>
        <w:spacing w:before="120" w:after="120" w:line="288" w:lineRule="auto"/>
        <w:ind w:left="1080"/>
        <w:jc w:val="both"/>
        <w:rPr>
          <w:color w:val="632423" w:themeColor="accent2" w:themeShade="80"/>
          <w:sz w:val="25"/>
          <w:szCs w:val="25"/>
        </w:rPr>
      </w:pPr>
      <w:r w:rsidRPr="00994757">
        <w:rPr>
          <w:color w:val="632423" w:themeColor="accent2" w:themeShade="80"/>
          <w:sz w:val="25"/>
          <w:szCs w:val="25"/>
        </w:rPr>
        <w:sym w:font="Wingdings 2" w:char="F050"/>
      </w:r>
      <w:r w:rsidRPr="00994757">
        <w:rPr>
          <w:color w:val="632423" w:themeColor="accent2" w:themeShade="80"/>
          <w:sz w:val="25"/>
          <w:szCs w:val="25"/>
        </w:rPr>
        <w:t xml:space="preserve"> Au non retrait des sommes déposées dans lesdits comptes pendant une période de 5 ans à compter du premier janvier de l’année qui suit celle du dépôt.</w:t>
      </w:r>
    </w:p>
    <w:p w:rsidR="005206F5" w:rsidRPr="005411F4" w:rsidRDefault="005206F5" w:rsidP="005206F5">
      <w:pPr>
        <w:spacing w:before="120" w:after="120" w:line="288" w:lineRule="auto"/>
        <w:jc w:val="both"/>
        <w:rPr>
          <w:color w:val="632423" w:themeColor="accent2" w:themeShade="80"/>
          <w:sz w:val="6"/>
          <w:szCs w:val="6"/>
        </w:rPr>
      </w:pPr>
    </w:p>
    <w:p w:rsidR="005206F5" w:rsidRPr="005411F4" w:rsidRDefault="005206F5" w:rsidP="005411F4">
      <w:pPr>
        <w:pBdr>
          <w:top w:val="single" w:sz="4" w:space="1" w:color="auto"/>
          <w:left w:val="single" w:sz="4" w:space="4" w:color="auto"/>
          <w:bottom w:val="single" w:sz="4" w:space="1" w:color="auto"/>
          <w:right w:val="single" w:sz="4" w:space="4" w:color="auto"/>
        </w:pBdr>
        <w:spacing w:before="120" w:after="120" w:line="288" w:lineRule="auto"/>
        <w:jc w:val="both"/>
        <w:rPr>
          <w:i/>
          <w:iCs/>
          <w:color w:val="262626" w:themeColor="text1" w:themeTint="D9"/>
          <w:sz w:val="24"/>
          <w:szCs w:val="24"/>
        </w:rPr>
      </w:pPr>
      <w:r w:rsidRPr="005411F4">
        <w:rPr>
          <w:i/>
          <w:iCs/>
          <w:color w:val="262626" w:themeColor="text1" w:themeTint="D9"/>
          <w:sz w:val="24"/>
          <w:szCs w:val="24"/>
        </w:rPr>
        <w:t>La réponse pourrait ne pas énumérer toutes ces conditions et se limiter à préciser</w:t>
      </w:r>
      <w:r w:rsidR="005411F4" w:rsidRPr="005411F4">
        <w:rPr>
          <w:i/>
          <w:iCs/>
          <w:color w:val="262626" w:themeColor="text1" w:themeTint="D9"/>
          <w:sz w:val="24"/>
          <w:szCs w:val="24"/>
        </w:rPr>
        <w:t xml:space="preserve"> que les avantages sont accordés sous réserves de satisfaire les conditions prévues à l’article 7 du CII</w:t>
      </w:r>
    </w:p>
    <w:p w:rsidR="00972D0B" w:rsidRPr="00B51F73" w:rsidRDefault="00972D0B" w:rsidP="00972D0B">
      <w:pPr>
        <w:pStyle w:val="Paragraphedeliste"/>
        <w:spacing w:before="120" w:after="120" w:line="288" w:lineRule="auto"/>
        <w:ind w:left="1080"/>
        <w:jc w:val="both"/>
        <w:rPr>
          <w:sz w:val="4"/>
          <w:szCs w:val="4"/>
        </w:rPr>
      </w:pPr>
    </w:p>
    <w:p w:rsidR="00972D0B" w:rsidRPr="00A7277F" w:rsidRDefault="00972D0B" w:rsidP="00972D0B">
      <w:pPr>
        <w:spacing w:before="120" w:after="120" w:line="288" w:lineRule="auto"/>
        <w:jc w:val="both"/>
        <w:rPr>
          <w:b/>
          <w:bCs/>
          <w:sz w:val="25"/>
          <w:szCs w:val="25"/>
        </w:rPr>
      </w:pPr>
      <w:r w:rsidRPr="00A7277F">
        <w:rPr>
          <w:b/>
          <w:bCs/>
          <w:sz w:val="25"/>
          <w:szCs w:val="25"/>
        </w:rPr>
        <w:t>2 – Régime fiscal en matière de droit d’enregistrement, d’impôt sur les sociétés et de TVA des deux marchés conclus par la « STPM ».</w:t>
      </w:r>
    </w:p>
    <w:p w:rsidR="00972D0B" w:rsidRPr="00A7277F" w:rsidRDefault="00E12DA5" w:rsidP="00972D0B">
      <w:pPr>
        <w:pStyle w:val="Paragraphedeliste"/>
        <w:numPr>
          <w:ilvl w:val="0"/>
          <w:numId w:val="3"/>
        </w:numPr>
        <w:spacing w:before="120" w:after="120" w:line="288" w:lineRule="auto"/>
        <w:jc w:val="both"/>
        <w:rPr>
          <w:sz w:val="25"/>
          <w:szCs w:val="25"/>
          <w:u w:val="single"/>
        </w:rPr>
      </w:pPr>
      <w:r>
        <w:rPr>
          <w:noProof/>
          <w:sz w:val="25"/>
          <w:szCs w:val="25"/>
          <w:u w:val="single"/>
          <w:lang w:eastAsia="fr-FR"/>
        </w:rPr>
        <w:pict>
          <v:oval id="_x0000_s1032" style="position:absolute;left:0;text-align:left;margin-left:232.9pt;margin-top:.4pt;width:28.5pt;height:22.5pt;z-index:251663360" filled="f" fillcolor="white [3201]" strokecolor="black [3200]" strokeweight="2.5pt">
            <v:shadow color="#868686"/>
          </v:oval>
        </w:pict>
      </w:r>
      <w:r w:rsidR="00972D0B" w:rsidRPr="00A7277F">
        <w:rPr>
          <w:sz w:val="25"/>
          <w:szCs w:val="25"/>
          <w:u w:val="single"/>
        </w:rPr>
        <w:t>En matière de droit d’enregistrement</w:t>
      </w:r>
      <w:r w:rsidR="00972D0B" w:rsidRPr="006E5F20">
        <w:rPr>
          <w:sz w:val="25"/>
          <w:szCs w:val="25"/>
        </w:rPr>
        <w:t xml:space="preserve"> </w:t>
      </w:r>
      <w:r w:rsidR="006E5F20" w:rsidRPr="006E5F20">
        <w:rPr>
          <w:sz w:val="25"/>
          <w:szCs w:val="25"/>
        </w:rPr>
        <w:t xml:space="preserve">  </w:t>
      </w:r>
      <w:r w:rsidR="006E5F20">
        <w:rPr>
          <w:sz w:val="25"/>
          <w:szCs w:val="25"/>
        </w:rPr>
        <w:t xml:space="preserve">  </w:t>
      </w:r>
      <w:r w:rsidR="006E5F20" w:rsidRPr="006E5F20">
        <w:rPr>
          <w:b/>
          <w:bCs/>
          <w:sz w:val="32"/>
          <w:szCs w:val="32"/>
        </w:rPr>
        <w:t>1</w:t>
      </w:r>
    </w:p>
    <w:p w:rsidR="00972D0B" w:rsidRPr="00A7277F" w:rsidRDefault="00972D0B" w:rsidP="005411F4">
      <w:pPr>
        <w:pStyle w:val="Paragraphedeliste"/>
        <w:spacing w:before="120" w:after="120" w:line="288" w:lineRule="auto"/>
        <w:jc w:val="both"/>
        <w:rPr>
          <w:sz w:val="25"/>
          <w:szCs w:val="25"/>
        </w:rPr>
      </w:pPr>
      <w:r w:rsidRPr="00A7277F">
        <w:rPr>
          <w:sz w:val="25"/>
          <w:szCs w:val="25"/>
        </w:rPr>
        <w:t>Aucun droit n’est du en Tunisie, les formalités d’enregistrement doivent être accomplies dans les pays respectifs de la conclusion des contrats, les droits dus, le cas échéant se</w:t>
      </w:r>
      <w:r w:rsidR="005411F4">
        <w:rPr>
          <w:sz w:val="25"/>
          <w:szCs w:val="25"/>
        </w:rPr>
        <w:t>ront</w:t>
      </w:r>
      <w:r w:rsidRPr="00A7277F">
        <w:rPr>
          <w:sz w:val="25"/>
          <w:szCs w:val="25"/>
        </w:rPr>
        <w:t xml:space="preserve"> liquidés selon les droits exigés par les législations desdits pays.</w:t>
      </w:r>
    </w:p>
    <w:p w:rsidR="00972D0B" w:rsidRPr="00A7277F" w:rsidRDefault="00E12DA5" w:rsidP="00972D0B">
      <w:pPr>
        <w:pStyle w:val="Paragraphedeliste"/>
        <w:spacing w:before="120" w:after="120" w:line="288" w:lineRule="auto"/>
        <w:jc w:val="both"/>
        <w:rPr>
          <w:sz w:val="25"/>
          <w:szCs w:val="25"/>
        </w:rPr>
      </w:pPr>
      <w:r>
        <w:rPr>
          <w:noProof/>
          <w:sz w:val="25"/>
          <w:szCs w:val="25"/>
          <w:lang w:eastAsia="fr-FR"/>
        </w:rPr>
        <w:pict>
          <v:oval id="_x0000_s1033" style="position:absolute;left:0;text-align:left;margin-left:123.4pt;margin-top:14.15pt;width:28.5pt;height:22.5pt;z-index:251664384" filled="f" fillcolor="white [3201]" strokecolor="black [3200]" strokeweight="2.5pt">
            <v:shadow color="#868686"/>
          </v:oval>
        </w:pict>
      </w:r>
    </w:p>
    <w:p w:rsidR="00972D0B" w:rsidRDefault="00972D0B" w:rsidP="00972D0B">
      <w:pPr>
        <w:pStyle w:val="Paragraphedeliste"/>
        <w:numPr>
          <w:ilvl w:val="0"/>
          <w:numId w:val="3"/>
        </w:numPr>
        <w:spacing w:before="120" w:after="120" w:line="288" w:lineRule="auto"/>
        <w:jc w:val="both"/>
        <w:rPr>
          <w:sz w:val="25"/>
          <w:szCs w:val="25"/>
          <w:u w:val="single"/>
        </w:rPr>
      </w:pPr>
      <w:r w:rsidRPr="00A7277F">
        <w:rPr>
          <w:sz w:val="25"/>
          <w:szCs w:val="25"/>
          <w:u w:val="single"/>
        </w:rPr>
        <w:t>En matière d’IS</w:t>
      </w:r>
      <w:r w:rsidR="006E5F20" w:rsidRPr="006E5F20">
        <w:rPr>
          <w:sz w:val="25"/>
          <w:szCs w:val="25"/>
        </w:rPr>
        <w:t xml:space="preserve">   </w:t>
      </w:r>
      <w:r w:rsidR="006E5F20">
        <w:rPr>
          <w:sz w:val="25"/>
          <w:szCs w:val="25"/>
          <w:u w:val="single"/>
        </w:rPr>
        <w:t xml:space="preserve"> </w:t>
      </w:r>
      <w:r w:rsidR="006E5F20" w:rsidRPr="006E5F20">
        <w:rPr>
          <w:sz w:val="25"/>
          <w:szCs w:val="25"/>
        </w:rPr>
        <w:t xml:space="preserve">  </w:t>
      </w:r>
      <w:r w:rsidR="006E5F20" w:rsidRPr="006E5F20">
        <w:rPr>
          <w:b/>
          <w:bCs/>
          <w:sz w:val="28"/>
          <w:szCs w:val="28"/>
        </w:rPr>
        <w:t>1</w:t>
      </w:r>
    </w:p>
    <w:p w:rsidR="005411F4" w:rsidRDefault="005411F4" w:rsidP="005411F4">
      <w:pPr>
        <w:pStyle w:val="Paragraphedeliste"/>
        <w:spacing w:before="120" w:after="120" w:line="288" w:lineRule="auto"/>
        <w:ind w:left="0"/>
        <w:jc w:val="both"/>
        <w:rPr>
          <w:sz w:val="25"/>
          <w:szCs w:val="25"/>
        </w:rPr>
      </w:pPr>
      <w:r w:rsidRPr="005411F4">
        <w:rPr>
          <w:sz w:val="25"/>
          <w:szCs w:val="25"/>
        </w:rPr>
        <w:lastRenderedPageBreak/>
        <w:t>En application</w:t>
      </w:r>
      <w:r>
        <w:rPr>
          <w:sz w:val="25"/>
          <w:szCs w:val="25"/>
        </w:rPr>
        <w:t xml:space="preserve"> des dispositions de l’article 6 de la convention UMA, l’expression établissement stable comprend notamment les chantiers de construction dont la durée dépasse trois mois</w:t>
      </w:r>
      <w:r w:rsidR="00022F79">
        <w:rPr>
          <w:sz w:val="25"/>
          <w:szCs w:val="25"/>
        </w:rPr>
        <w:t>, les régimes fiscaux des deux marchés seraient alors les suivants :</w:t>
      </w:r>
    </w:p>
    <w:p w:rsidR="005411F4" w:rsidRPr="005411F4" w:rsidRDefault="005411F4" w:rsidP="005411F4">
      <w:pPr>
        <w:pStyle w:val="Paragraphedeliste"/>
        <w:spacing w:before="120" w:after="120" w:line="288" w:lineRule="auto"/>
        <w:ind w:left="0"/>
        <w:jc w:val="both"/>
        <w:rPr>
          <w:sz w:val="25"/>
          <w:szCs w:val="25"/>
        </w:rPr>
      </w:pPr>
    </w:p>
    <w:p w:rsidR="00030597" w:rsidRPr="00A7277F" w:rsidRDefault="00030597" w:rsidP="00030597">
      <w:pPr>
        <w:pStyle w:val="Paragraphedeliste"/>
        <w:spacing w:before="120" w:after="120" w:line="288" w:lineRule="auto"/>
        <w:jc w:val="both"/>
        <w:rPr>
          <w:sz w:val="25"/>
          <w:szCs w:val="25"/>
        </w:rPr>
      </w:pPr>
      <w:r w:rsidRPr="00A7277F">
        <w:rPr>
          <w:sz w:val="25"/>
          <w:szCs w:val="25"/>
        </w:rPr>
        <w:sym w:font="Wingdings 2" w:char="F0AE"/>
      </w:r>
      <w:r w:rsidRPr="00A7277F">
        <w:rPr>
          <w:sz w:val="25"/>
          <w:szCs w:val="25"/>
        </w:rPr>
        <w:t xml:space="preserve"> </w:t>
      </w:r>
      <w:r w:rsidRPr="00022F79">
        <w:rPr>
          <w:sz w:val="25"/>
          <w:szCs w:val="25"/>
          <w:u w:val="single"/>
        </w:rPr>
        <w:t>Marché conclu avec l’Etat algérien</w:t>
      </w:r>
      <w:r w:rsidRPr="00A7277F">
        <w:rPr>
          <w:sz w:val="25"/>
          <w:szCs w:val="25"/>
        </w:rPr>
        <w:t> :</w:t>
      </w:r>
    </w:p>
    <w:p w:rsidR="00030597" w:rsidRPr="00A7277F" w:rsidRDefault="00030597" w:rsidP="008B29A9">
      <w:pPr>
        <w:pStyle w:val="Paragraphedeliste"/>
        <w:spacing w:before="120" w:after="120" w:line="288" w:lineRule="auto"/>
        <w:jc w:val="both"/>
        <w:rPr>
          <w:sz w:val="25"/>
          <w:szCs w:val="25"/>
        </w:rPr>
      </w:pPr>
      <w:r w:rsidRPr="00A7277F">
        <w:rPr>
          <w:sz w:val="25"/>
          <w:szCs w:val="25"/>
        </w:rPr>
        <w:t xml:space="preserve">Eu égard à sa durée (5 mois) ce marché est considéré comme étant réalisé dans le cadre d’un établissement stable en Algérie. </w:t>
      </w:r>
      <w:r w:rsidR="008B29A9" w:rsidRPr="00A7277F">
        <w:rPr>
          <w:sz w:val="25"/>
          <w:szCs w:val="25"/>
        </w:rPr>
        <w:t>Fiscalement, l</w:t>
      </w:r>
      <w:r w:rsidRPr="00A7277F">
        <w:rPr>
          <w:sz w:val="25"/>
          <w:szCs w:val="25"/>
        </w:rPr>
        <w:t xml:space="preserve">es comptes de la « STPM » ne doivent </w:t>
      </w:r>
      <w:r w:rsidR="008B29A9" w:rsidRPr="00A7277F">
        <w:rPr>
          <w:sz w:val="25"/>
          <w:szCs w:val="25"/>
        </w:rPr>
        <w:t>retenir</w:t>
      </w:r>
      <w:r w:rsidRPr="00A7277F">
        <w:rPr>
          <w:sz w:val="25"/>
          <w:szCs w:val="25"/>
        </w:rPr>
        <w:t xml:space="preserve"> ni les charges ni les produits inhérents à ce marché. Par ailleurs, les bénéfices pouvant en découler, et qui seront constatés en comptabilité ne seront pas imposés, parallèlement les pertes qui pourraient être dégagées ne seront pas déductibles.</w:t>
      </w:r>
    </w:p>
    <w:p w:rsidR="00030597" w:rsidRDefault="00024F1B" w:rsidP="00024F1B">
      <w:pPr>
        <w:pStyle w:val="Paragraphedeliste"/>
        <w:spacing w:before="120" w:after="240"/>
        <w:jc w:val="both"/>
        <w:rPr>
          <w:sz w:val="25"/>
          <w:szCs w:val="25"/>
        </w:rPr>
      </w:pPr>
      <w:r>
        <w:rPr>
          <w:sz w:val="25"/>
          <w:szCs w:val="25"/>
        </w:rPr>
        <w:t xml:space="preserve">En outre, la « STPM » doit réintégrer à son résultat fiscal une quote-part de ses frais de siège de son établissement stable en Algérie calculée selon la formule suivante : </w:t>
      </w:r>
      <w:r w:rsidRPr="00024F1B">
        <w:rPr>
          <w:sz w:val="25"/>
          <w:szCs w:val="25"/>
          <w:u w:val="single"/>
        </w:rPr>
        <w:t>Chiffre d’affaires établissement stable</w:t>
      </w:r>
      <w:r>
        <w:rPr>
          <w:sz w:val="25"/>
          <w:szCs w:val="25"/>
        </w:rPr>
        <w:t xml:space="preserve">  X Frais de siège </w:t>
      </w:r>
    </w:p>
    <w:p w:rsidR="00024F1B" w:rsidRDefault="00024F1B" w:rsidP="00030597">
      <w:pPr>
        <w:pStyle w:val="Paragraphedeliste"/>
        <w:spacing w:before="120" w:after="120" w:line="288" w:lineRule="auto"/>
        <w:jc w:val="both"/>
        <w:rPr>
          <w:sz w:val="25"/>
          <w:szCs w:val="25"/>
        </w:rPr>
      </w:pPr>
      <w:r>
        <w:rPr>
          <w:sz w:val="25"/>
          <w:szCs w:val="25"/>
        </w:rPr>
        <w:tab/>
      </w:r>
      <w:r>
        <w:rPr>
          <w:sz w:val="25"/>
          <w:szCs w:val="25"/>
        </w:rPr>
        <w:tab/>
        <w:t>Chiffre d’affaires global</w:t>
      </w:r>
    </w:p>
    <w:p w:rsidR="00024F1B" w:rsidRPr="00A7277F" w:rsidRDefault="00024F1B" w:rsidP="00030597">
      <w:pPr>
        <w:pStyle w:val="Paragraphedeliste"/>
        <w:spacing w:before="120" w:after="120" w:line="288" w:lineRule="auto"/>
        <w:jc w:val="both"/>
        <w:rPr>
          <w:sz w:val="25"/>
          <w:szCs w:val="25"/>
        </w:rPr>
      </w:pPr>
    </w:p>
    <w:p w:rsidR="00030597" w:rsidRPr="00A7277F" w:rsidRDefault="00030597" w:rsidP="00030597">
      <w:pPr>
        <w:pStyle w:val="Paragraphedeliste"/>
        <w:spacing w:before="120" w:after="120" w:line="288" w:lineRule="auto"/>
        <w:jc w:val="both"/>
        <w:rPr>
          <w:sz w:val="25"/>
          <w:szCs w:val="25"/>
        </w:rPr>
      </w:pPr>
      <w:r w:rsidRPr="00A7277F">
        <w:rPr>
          <w:sz w:val="25"/>
          <w:szCs w:val="25"/>
        </w:rPr>
        <w:sym w:font="Wingdings 2" w:char="F0AE"/>
      </w:r>
      <w:r w:rsidRPr="00A7277F">
        <w:rPr>
          <w:sz w:val="25"/>
          <w:szCs w:val="25"/>
        </w:rPr>
        <w:t xml:space="preserve"> </w:t>
      </w:r>
      <w:r w:rsidRPr="00022F79">
        <w:rPr>
          <w:sz w:val="25"/>
          <w:szCs w:val="25"/>
          <w:u w:val="single"/>
        </w:rPr>
        <w:t>Marché conclu avec l’Etat mauritanien</w:t>
      </w:r>
      <w:r w:rsidRPr="00A7277F">
        <w:rPr>
          <w:sz w:val="25"/>
          <w:szCs w:val="25"/>
        </w:rPr>
        <w:t> :</w:t>
      </w:r>
    </w:p>
    <w:p w:rsidR="008B29A9" w:rsidRPr="00A7277F" w:rsidRDefault="00030597" w:rsidP="00030597">
      <w:pPr>
        <w:pStyle w:val="Paragraphedeliste"/>
        <w:spacing w:before="120" w:after="120" w:line="288" w:lineRule="auto"/>
        <w:jc w:val="both"/>
        <w:rPr>
          <w:sz w:val="25"/>
          <w:szCs w:val="25"/>
        </w:rPr>
      </w:pPr>
      <w:r w:rsidRPr="00A7277F">
        <w:rPr>
          <w:sz w:val="25"/>
          <w:szCs w:val="25"/>
        </w:rPr>
        <w:t>Eu égard à sa durée (2mois) ce marché n’est pas conclu dans le cadre d’un établissement stable, les charges et les produits s’en rapportant sont rattachés à l’exploitation de la « STPM » et enregistrés dans ses comptes</w:t>
      </w:r>
      <w:r w:rsidR="008B29A9" w:rsidRPr="00A7277F">
        <w:rPr>
          <w:sz w:val="25"/>
          <w:szCs w:val="25"/>
        </w:rPr>
        <w:t>. Le chiffre d’affaires réalisé à ce titre est considéré comme un chiffre d’affaire export et donne droit à la déduction des bénéfices qui en découlent.</w:t>
      </w:r>
    </w:p>
    <w:p w:rsidR="008B29A9" w:rsidRPr="00A7277F" w:rsidRDefault="008B29A9" w:rsidP="00030597">
      <w:pPr>
        <w:pStyle w:val="Paragraphedeliste"/>
        <w:spacing w:before="120" w:after="120" w:line="288" w:lineRule="auto"/>
        <w:jc w:val="both"/>
        <w:rPr>
          <w:sz w:val="25"/>
          <w:szCs w:val="25"/>
        </w:rPr>
      </w:pPr>
    </w:p>
    <w:p w:rsidR="008B29A9" w:rsidRPr="00A7277F" w:rsidRDefault="00E12DA5" w:rsidP="008B29A9">
      <w:pPr>
        <w:pStyle w:val="Paragraphedeliste"/>
        <w:numPr>
          <w:ilvl w:val="0"/>
          <w:numId w:val="3"/>
        </w:numPr>
        <w:spacing w:before="120" w:after="120" w:line="288" w:lineRule="auto"/>
        <w:jc w:val="both"/>
        <w:rPr>
          <w:sz w:val="25"/>
          <w:szCs w:val="25"/>
          <w:u w:val="single"/>
        </w:rPr>
      </w:pPr>
      <w:r w:rsidRPr="00E12DA5">
        <w:rPr>
          <w:noProof/>
          <w:sz w:val="25"/>
          <w:szCs w:val="25"/>
          <w:lang w:eastAsia="fr-FR"/>
        </w:rPr>
        <w:pict>
          <v:oval id="_x0000_s1034" style="position:absolute;left:0;text-align:left;margin-left:143.65pt;margin-top:.25pt;width:28.5pt;height:22.5pt;z-index:251665408" filled="f" fillcolor="white [3201]" strokecolor="black [3200]" strokeweight="2.5pt">
            <v:shadow color="#868686"/>
          </v:oval>
        </w:pict>
      </w:r>
      <w:r w:rsidR="008B29A9" w:rsidRPr="00A7277F">
        <w:rPr>
          <w:sz w:val="25"/>
          <w:szCs w:val="25"/>
          <w:u w:val="single"/>
        </w:rPr>
        <w:t>En matière de TVA </w:t>
      </w:r>
      <w:r w:rsidR="006E5F20" w:rsidRPr="006E5F20">
        <w:rPr>
          <w:sz w:val="25"/>
          <w:szCs w:val="25"/>
        </w:rPr>
        <w:t xml:space="preserve">  </w:t>
      </w:r>
      <w:r w:rsidR="006E5F20">
        <w:rPr>
          <w:sz w:val="25"/>
          <w:szCs w:val="25"/>
        </w:rPr>
        <w:t xml:space="preserve">     </w:t>
      </w:r>
      <w:r w:rsidR="006E5F20" w:rsidRPr="006E5F20">
        <w:rPr>
          <w:b/>
          <w:bCs/>
          <w:sz w:val="32"/>
          <w:szCs w:val="32"/>
        </w:rPr>
        <w:t>1</w:t>
      </w:r>
    </w:p>
    <w:p w:rsidR="008B29A9" w:rsidRPr="00A7277F" w:rsidRDefault="00024F1B" w:rsidP="008B29A9">
      <w:pPr>
        <w:pStyle w:val="Paragraphedeliste"/>
        <w:spacing w:before="120" w:after="120" w:line="288" w:lineRule="auto"/>
        <w:jc w:val="both"/>
        <w:rPr>
          <w:sz w:val="25"/>
          <w:szCs w:val="25"/>
        </w:rPr>
      </w:pPr>
      <w:r>
        <w:rPr>
          <w:sz w:val="25"/>
          <w:szCs w:val="25"/>
        </w:rPr>
        <w:t>En application des dispositions de l’article 3 du code de la TVA, p</w:t>
      </w:r>
      <w:r w:rsidR="008B29A9" w:rsidRPr="00A7277F">
        <w:rPr>
          <w:sz w:val="25"/>
          <w:szCs w:val="25"/>
        </w:rPr>
        <w:t>our les deux marchés aucune TVA n’est due en Tunisie. A signaler que le marché conclu avec l’Etat algérien ouvre droit au bénéfice des dispositions du § I bis de l’article 11 du code de la TVA, en vertu desquelles la « STPM » peut bénéficier de la suspension de la TVA au titre des biens et équipements acquis localement entrant dans les composantes des marchés réalisés à l’étranger dont le montant ne peut être inférieur à 3 millions de dinars.</w:t>
      </w:r>
    </w:p>
    <w:p w:rsidR="00030597" w:rsidRDefault="008B29A9" w:rsidP="008B29A9">
      <w:pPr>
        <w:pStyle w:val="Paragraphedeliste"/>
        <w:spacing w:before="120" w:after="120" w:line="288" w:lineRule="auto"/>
        <w:jc w:val="both"/>
        <w:rPr>
          <w:sz w:val="25"/>
          <w:szCs w:val="25"/>
        </w:rPr>
      </w:pPr>
      <w:r w:rsidRPr="00A7277F">
        <w:rPr>
          <w:sz w:val="25"/>
          <w:szCs w:val="25"/>
        </w:rPr>
        <w:t>Le marché conclu avec l’Etat mauritanien n’ouvre pas droit à cet avantage puisque sont montant n’est que de 2.500.000 DT.</w:t>
      </w:r>
      <w:r w:rsidR="00030597" w:rsidRPr="00A7277F">
        <w:rPr>
          <w:sz w:val="25"/>
          <w:szCs w:val="25"/>
        </w:rPr>
        <w:t xml:space="preserve"> </w:t>
      </w:r>
    </w:p>
    <w:p w:rsidR="00994757" w:rsidRDefault="00994757" w:rsidP="008B29A9">
      <w:pPr>
        <w:pStyle w:val="Paragraphedeliste"/>
        <w:spacing w:before="120" w:after="120" w:line="288" w:lineRule="auto"/>
        <w:jc w:val="both"/>
        <w:rPr>
          <w:sz w:val="25"/>
          <w:szCs w:val="25"/>
        </w:rPr>
      </w:pPr>
    </w:p>
    <w:p w:rsidR="00A7277F" w:rsidRDefault="00994757" w:rsidP="008B29A9">
      <w:pPr>
        <w:pStyle w:val="Paragraphedeliste"/>
        <w:spacing w:before="120" w:after="120" w:line="288" w:lineRule="auto"/>
        <w:jc w:val="both"/>
        <w:rPr>
          <w:sz w:val="25"/>
          <w:szCs w:val="25"/>
        </w:rPr>
      </w:pPr>
      <w:r>
        <w:rPr>
          <w:sz w:val="25"/>
          <w:szCs w:val="25"/>
        </w:rPr>
        <w:t>Par ailleurs, et en application des dispositions de l’article 22 du CII, et du moment où elle réalise des opération</w:t>
      </w:r>
      <w:r w:rsidR="00024F1B">
        <w:rPr>
          <w:sz w:val="25"/>
          <w:szCs w:val="25"/>
        </w:rPr>
        <w:t>s</w:t>
      </w:r>
      <w:r>
        <w:rPr>
          <w:sz w:val="25"/>
          <w:szCs w:val="25"/>
        </w:rPr>
        <w:t xml:space="preserve"> d’exportation durant l’activité, la « STPM » bénéficie de la suspension de la TVA sur les biens, produits et services nécessaires à la réalisation desdites opérations d’exportation.</w:t>
      </w:r>
    </w:p>
    <w:p w:rsidR="00A7277F" w:rsidRDefault="00A7277F" w:rsidP="008B29A9">
      <w:pPr>
        <w:pStyle w:val="Paragraphedeliste"/>
        <w:spacing w:before="120" w:after="120" w:line="288" w:lineRule="auto"/>
        <w:jc w:val="both"/>
        <w:rPr>
          <w:sz w:val="25"/>
          <w:szCs w:val="25"/>
        </w:rPr>
      </w:pPr>
    </w:p>
    <w:p w:rsidR="00B51F73" w:rsidRDefault="00B51F73" w:rsidP="008B29A9">
      <w:pPr>
        <w:pStyle w:val="Paragraphedeliste"/>
        <w:spacing w:before="120" w:after="120" w:line="288" w:lineRule="auto"/>
        <w:jc w:val="both"/>
        <w:rPr>
          <w:sz w:val="25"/>
          <w:szCs w:val="25"/>
        </w:rPr>
      </w:pPr>
    </w:p>
    <w:p w:rsidR="00B51F73" w:rsidRDefault="00E12DA5" w:rsidP="008B29A9">
      <w:pPr>
        <w:pStyle w:val="Paragraphedeliste"/>
        <w:spacing w:before="120" w:after="120" w:line="288" w:lineRule="auto"/>
        <w:jc w:val="both"/>
        <w:rPr>
          <w:sz w:val="25"/>
          <w:szCs w:val="25"/>
        </w:rPr>
      </w:pPr>
      <w:r>
        <w:rPr>
          <w:noProof/>
          <w:sz w:val="25"/>
          <w:szCs w:val="25"/>
          <w:lang w:eastAsia="fr-FR"/>
        </w:rPr>
        <w:pict>
          <v:oval id="_x0000_s1035" style="position:absolute;left:0;text-align:left;margin-left:16.9pt;margin-top:17.8pt;width:58.5pt;height:30.75pt;z-index:251666432" filled="f" fillcolor="white [3201]" strokecolor="black [3200]" strokeweight="2.5pt">
            <v:shadow color="#868686"/>
          </v:oval>
        </w:pict>
      </w:r>
    </w:p>
    <w:p w:rsidR="008B29A9" w:rsidRPr="00A7277F" w:rsidRDefault="008B29A9" w:rsidP="008B29A9">
      <w:pPr>
        <w:rPr>
          <w:sz w:val="25"/>
          <w:szCs w:val="25"/>
        </w:rPr>
      </w:pPr>
      <w:r w:rsidRPr="00A7277F">
        <w:rPr>
          <w:rFonts w:asciiTheme="majorBidi" w:hAnsiTheme="majorBidi" w:cstheme="majorBidi"/>
          <w:sz w:val="25"/>
          <w:szCs w:val="25"/>
        </w:rPr>
        <w:t xml:space="preserve">II </w:t>
      </w:r>
      <w:r w:rsidRPr="00A7277F">
        <w:rPr>
          <w:sz w:val="25"/>
          <w:szCs w:val="25"/>
        </w:rPr>
        <w:t xml:space="preserve">– </w:t>
      </w:r>
      <w:r w:rsidR="006E5F20">
        <w:rPr>
          <w:sz w:val="25"/>
          <w:szCs w:val="25"/>
        </w:rPr>
        <w:t xml:space="preserve"> </w:t>
      </w:r>
      <w:r w:rsidR="006E5F20" w:rsidRPr="006E5F20">
        <w:rPr>
          <w:b/>
          <w:bCs/>
          <w:sz w:val="28"/>
          <w:szCs w:val="28"/>
        </w:rPr>
        <w:t>8 points</w:t>
      </w:r>
      <w:r w:rsidR="006E5F20">
        <w:rPr>
          <w:b/>
          <w:bCs/>
          <w:sz w:val="28"/>
          <w:szCs w:val="28"/>
        </w:rPr>
        <w:t xml:space="preserve"> </w:t>
      </w:r>
    </w:p>
    <w:p w:rsidR="00DF7109" w:rsidRDefault="006E5F20" w:rsidP="00E40336">
      <w:pPr>
        <w:spacing w:before="120" w:after="120" w:line="288" w:lineRule="auto"/>
        <w:jc w:val="both"/>
        <w:rPr>
          <w:b/>
          <w:bCs/>
          <w:sz w:val="25"/>
          <w:szCs w:val="25"/>
        </w:rPr>
      </w:pPr>
      <w:r>
        <w:rPr>
          <w:b/>
          <w:bCs/>
          <w:sz w:val="25"/>
          <w:szCs w:val="25"/>
        </w:rPr>
        <w:t>0,</w:t>
      </w:r>
      <w:r w:rsidR="00E40336">
        <w:rPr>
          <w:b/>
          <w:bCs/>
          <w:sz w:val="25"/>
          <w:szCs w:val="25"/>
        </w:rPr>
        <w:t>75</w:t>
      </w:r>
      <w:r>
        <w:rPr>
          <w:b/>
          <w:bCs/>
          <w:sz w:val="25"/>
          <w:szCs w:val="25"/>
        </w:rPr>
        <w:t xml:space="preserve"> point pour</w:t>
      </w:r>
      <w:r w:rsidR="00DF7109">
        <w:rPr>
          <w:b/>
          <w:bCs/>
          <w:sz w:val="25"/>
          <w:szCs w:val="25"/>
        </w:rPr>
        <w:t xml:space="preserve"> les </w:t>
      </w:r>
      <w:r w:rsidR="00E40336">
        <w:rPr>
          <w:b/>
          <w:bCs/>
          <w:sz w:val="25"/>
          <w:szCs w:val="25"/>
        </w:rPr>
        <w:t>10</w:t>
      </w:r>
      <w:r w:rsidR="00DF7109">
        <w:rPr>
          <w:b/>
          <w:bCs/>
          <w:sz w:val="25"/>
          <w:szCs w:val="25"/>
        </w:rPr>
        <w:t xml:space="preserve"> éléments suivants (soit </w:t>
      </w:r>
      <w:r w:rsidR="00E40336">
        <w:rPr>
          <w:b/>
          <w:bCs/>
          <w:sz w:val="25"/>
          <w:szCs w:val="25"/>
        </w:rPr>
        <w:t>7,5</w:t>
      </w:r>
      <w:r w:rsidR="00DF7109">
        <w:rPr>
          <w:b/>
          <w:bCs/>
          <w:sz w:val="25"/>
          <w:szCs w:val="25"/>
        </w:rPr>
        <w:t xml:space="preserve"> points) </w:t>
      </w:r>
    </w:p>
    <w:p w:rsidR="006E5F20" w:rsidRDefault="00DF7109" w:rsidP="00DF7109">
      <w:pPr>
        <w:pStyle w:val="Paragraphedeliste"/>
        <w:numPr>
          <w:ilvl w:val="0"/>
          <w:numId w:val="2"/>
        </w:numPr>
        <w:spacing w:before="120" w:after="120" w:line="288" w:lineRule="auto"/>
        <w:jc w:val="both"/>
        <w:rPr>
          <w:b/>
          <w:bCs/>
          <w:sz w:val="25"/>
          <w:szCs w:val="25"/>
        </w:rPr>
      </w:pPr>
      <w:r>
        <w:rPr>
          <w:b/>
          <w:bCs/>
          <w:sz w:val="25"/>
          <w:szCs w:val="25"/>
        </w:rPr>
        <w:t>La réintégration</w:t>
      </w:r>
      <w:r w:rsidR="006E5F20" w:rsidRPr="00DF7109">
        <w:rPr>
          <w:b/>
          <w:bCs/>
          <w:sz w:val="25"/>
          <w:szCs w:val="25"/>
        </w:rPr>
        <w:t xml:space="preserve"> au titre des stocks options </w:t>
      </w:r>
      <w:r>
        <w:rPr>
          <w:b/>
          <w:bCs/>
          <w:sz w:val="25"/>
          <w:szCs w:val="25"/>
        </w:rPr>
        <w:t xml:space="preserve"> (40.000 DT)</w:t>
      </w:r>
    </w:p>
    <w:p w:rsidR="00DF7109" w:rsidRPr="00DF7109" w:rsidRDefault="00DF7109" w:rsidP="00DF7109">
      <w:pPr>
        <w:pStyle w:val="Paragraphedeliste"/>
        <w:numPr>
          <w:ilvl w:val="0"/>
          <w:numId w:val="2"/>
        </w:numPr>
        <w:spacing w:before="120" w:after="120" w:line="288" w:lineRule="auto"/>
        <w:jc w:val="both"/>
        <w:rPr>
          <w:b/>
          <w:bCs/>
          <w:sz w:val="25"/>
          <w:szCs w:val="25"/>
        </w:rPr>
      </w:pPr>
      <w:r>
        <w:rPr>
          <w:b/>
          <w:bCs/>
          <w:sz w:val="25"/>
          <w:szCs w:val="25"/>
        </w:rPr>
        <w:t xml:space="preserve">La réintégration au titre des stocks options </w:t>
      </w:r>
      <w:r w:rsidR="00E40336">
        <w:rPr>
          <w:b/>
          <w:bCs/>
          <w:sz w:val="25"/>
          <w:szCs w:val="25"/>
        </w:rPr>
        <w:t>(15.000 DT)</w:t>
      </w:r>
    </w:p>
    <w:p w:rsidR="00DF7109" w:rsidRDefault="00DF7109" w:rsidP="00DF7109">
      <w:pPr>
        <w:pStyle w:val="Paragraphedeliste"/>
        <w:numPr>
          <w:ilvl w:val="0"/>
          <w:numId w:val="2"/>
        </w:numPr>
        <w:spacing w:before="120" w:after="120" w:line="288" w:lineRule="auto"/>
        <w:jc w:val="both"/>
        <w:rPr>
          <w:b/>
          <w:bCs/>
          <w:sz w:val="25"/>
          <w:szCs w:val="25"/>
        </w:rPr>
      </w:pPr>
      <w:r>
        <w:rPr>
          <w:b/>
          <w:bCs/>
          <w:sz w:val="25"/>
          <w:szCs w:val="25"/>
        </w:rPr>
        <w:t>L’</w:t>
      </w:r>
      <w:r w:rsidRPr="00DF7109">
        <w:rPr>
          <w:b/>
          <w:bCs/>
          <w:sz w:val="25"/>
          <w:szCs w:val="25"/>
        </w:rPr>
        <w:t>assiette pour l</w:t>
      </w:r>
      <w:r>
        <w:rPr>
          <w:b/>
          <w:bCs/>
          <w:sz w:val="25"/>
          <w:szCs w:val="25"/>
        </w:rPr>
        <w:t>e</w:t>
      </w:r>
      <w:r w:rsidRPr="00DF7109">
        <w:rPr>
          <w:b/>
          <w:bCs/>
          <w:sz w:val="25"/>
          <w:szCs w:val="25"/>
        </w:rPr>
        <w:t xml:space="preserve"> calcul du bénéfice export </w:t>
      </w:r>
    </w:p>
    <w:p w:rsidR="00DF7109" w:rsidRDefault="00DF7109" w:rsidP="00DF7109">
      <w:pPr>
        <w:pStyle w:val="Paragraphedeliste"/>
        <w:numPr>
          <w:ilvl w:val="0"/>
          <w:numId w:val="2"/>
        </w:numPr>
        <w:spacing w:before="120" w:after="120" w:line="288" w:lineRule="auto"/>
        <w:jc w:val="both"/>
        <w:rPr>
          <w:b/>
          <w:bCs/>
          <w:sz w:val="25"/>
          <w:szCs w:val="25"/>
        </w:rPr>
      </w:pPr>
      <w:r>
        <w:rPr>
          <w:b/>
          <w:bCs/>
          <w:sz w:val="25"/>
          <w:szCs w:val="25"/>
        </w:rPr>
        <w:t xml:space="preserve">La </w:t>
      </w:r>
      <w:r w:rsidRPr="00DF7109">
        <w:rPr>
          <w:b/>
          <w:bCs/>
          <w:sz w:val="25"/>
          <w:szCs w:val="25"/>
        </w:rPr>
        <w:t>déduction afférente</w:t>
      </w:r>
      <w:r>
        <w:rPr>
          <w:b/>
          <w:bCs/>
          <w:sz w:val="25"/>
          <w:szCs w:val="25"/>
        </w:rPr>
        <w:t xml:space="preserve"> à l’export</w:t>
      </w:r>
    </w:p>
    <w:p w:rsidR="00DF7109" w:rsidRDefault="00DF7109" w:rsidP="00DF7109">
      <w:pPr>
        <w:pStyle w:val="Paragraphedeliste"/>
        <w:numPr>
          <w:ilvl w:val="0"/>
          <w:numId w:val="2"/>
        </w:numPr>
        <w:spacing w:before="120" w:after="120" w:line="288" w:lineRule="auto"/>
        <w:jc w:val="both"/>
        <w:rPr>
          <w:b/>
          <w:bCs/>
          <w:sz w:val="25"/>
          <w:szCs w:val="25"/>
        </w:rPr>
      </w:pPr>
      <w:r>
        <w:rPr>
          <w:b/>
          <w:bCs/>
          <w:sz w:val="25"/>
          <w:szCs w:val="25"/>
        </w:rPr>
        <w:t>Minimum d’impôt et IS du</w:t>
      </w:r>
    </w:p>
    <w:p w:rsidR="00DF7109" w:rsidRDefault="00DF7109" w:rsidP="00DF7109">
      <w:pPr>
        <w:pStyle w:val="Paragraphedeliste"/>
        <w:numPr>
          <w:ilvl w:val="0"/>
          <w:numId w:val="2"/>
        </w:numPr>
        <w:spacing w:before="120" w:after="120" w:line="288" w:lineRule="auto"/>
        <w:jc w:val="both"/>
        <w:rPr>
          <w:b/>
          <w:bCs/>
          <w:sz w:val="25"/>
          <w:szCs w:val="25"/>
        </w:rPr>
      </w:pPr>
      <w:r>
        <w:rPr>
          <w:b/>
          <w:bCs/>
          <w:sz w:val="25"/>
          <w:szCs w:val="25"/>
        </w:rPr>
        <w:t>Réintégration frais de siège</w:t>
      </w:r>
    </w:p>
    <w:p w:rsidR="00DF7109" w:rsidRDefault="00DF7109" w:rsidP="00DF7109">
      <w:pPr>
        <w:pStyle w:val="Paragraphedeliste"/>
        <w:numPr>
          <w:ilvl w:val="0"/>
          <w:numId w:val="2"/>
        </w:numPr>
        <w:spacing w:before="120" w:after="120" w:line="288" w:lineRule="auto"/>
        <w:jc w:val="both"/>
        <w:rPr>
          <w:b/>
          <w:bCs/>
          <w:sz w:val="25"/>
          <w:szCs w:val="25"/>
        </w:rPr>
      </w:pPr>
      <w:r>
        <w:rPr>
          <w:b/>
          <w:bCs/>
          <w:sz w:val="25"/>
          <w:szCs w:val="25"/>
        </w:rPr>
        <w:t>Déduction au titre du dégrèvement financier</w:t>
      </w:r>
    </w:p>
    <w:p w:rsidR="00E40336" w:rsidRDefault="00E40336" w:rsidP="00DF7109">
      <w:pPr>
        <w:pStyle w:val="Paragraphedeliste"/>
        <w:numPr>
          <w:ilvl w:val="0"/>
          <w:numId w:val="2"/>
        </w:numPr>
        <w:spacing w:before="120" w:after="120" w:line="288" w:lineRule="auto"/>
        <w:jc w:val="both"/>
        <w:rPr>
          <w:b/>
          <w:bCs/>
          <w:sz w:val="25"/>
          <w:szCs w:val="25"/>
        </w:rPr>
      </w:pPr>
      <w:r>
        <w:rPr>
          <w:b/>
          <w:bCs/>
          <w:sz w:val="25"/>
          <w:szCs w:val="25"/>
        </w:rPr>
        <w:t>Les 2 réintégrations des provisions (50.000 et 85.000)</w:t>
      </w:r>
    </w:p>
    <w:p w:rsidR="00E40336" w:rsidRDefault="00E40336" w:rsidP="00DF7109">
      <w:pPr>
        <w:pStyle w:val="Paragraphedeliste"/>
        <w:numPr>
          <w:ilvl w:val="0"/>
          <w:numId w:val="2"/>
        </w:numPr>
        <w:spacing w:before="120" w:after="120" w:line="288" w:lineRule="auto"/>
        <w:jc w:val="both"/>
        <w:rPr>
          <w:b/>
          <w:bCs/>
          <w:sz w:val="25"/>
          <w:szCs w:val="25"/>
        </w:rPr>
      </w:pPr>
      <w:r>
        <w:rPr>
          <w:b/>
          <w:bCs/>
          <w:sz w:val="25"/>
          <w:szCs w:val="25"/>
        </w:rPr>
        <w:t>La déduction du CA marché algérien et réintégration des charges</w:t>
      </w:r>
    </w:p>
    <w:p w:rsidR="00E40336" w:rsidRDefault="00E40336" w:rsidP="00E40336">
      <w:pPr>
        <w:pStyle w:val="Paragraphedeliste"/>
        <w:numPr>
          <w:ilvl w:val="0"/>
          <w:numId w:val="2"/>
        </w:numPr>
        <w:spacing w:before="120" w:after="120" w:line="288" w:lineRule="auto"/>
        <w:jc w:val="both"/>
        <w:rPr>
          <w:b/>
          <w:bCs/>
          <w:sz w:val="25"/>
          <w:szCs w:val="25"/>
        </w:rPr>
      </w:pPr>
      <w:r>
        <w:rPr>
          <w:b/>
          <w:bCs/>
          <w:sz w:val="25"/>
          <w:szCs w:val="25"/>
        </w:rPr>
        <w:t>Réintégration des frais d’enregistrement du marché (élément du coût)</w:t>
      </w:r>
    </w:p>
    <w:p w:rsidR="00DF7109" w:rsidRPr="00DF7109" w:rsidRDefault="00DF7109" w:rsidP="00E40336">
      <w:pPr>
        <w:spacing w:before="120" w:after="120" w:line="288" w:lineRule="auto"/>
        <w:jc w:val="both"/>
        <w:rPr>
          <w:b/>
          <w:bCs/>
          <w:sz w:val="25"/>
          <w:szCs w:val="25"/>
        </w:rPr>
      </w:pPr>
      <w:r>
        <w:rPr>
          <w:b/>
          <w:bCs/>
          <w:sz w:val="25"/>
          <w:szCs w:val="25"/>
        </w:rPr>
        <w:t>0,</w:t>
      </w:r>
      <w:r w:rsidR="00E40336">
        <w:rPr>
          <w:b/>
          <w:bCs/>
          <w:sz w:val="25"/>
          <w:szCs w:val="25"/>
        </w:rPr>
        <w:t>5</w:t>
      </w:r>
      <w:r>
        <w:rPr>
          <w:b/>
          <w:bCs/>
          <w:sz w:val="25"/>
          <w:szCs w:val="25"/>
        </w:rPr>
        <w:t xml:space="preserve"> point : </w:t>
      </w:r>
      <w:r w:rsidR="00E40336">
        <w:rPr>
          <w:b/>
          <w:bCs/>
          <w:sz w:val="25"/>
          <w:szCs w:val="25"/>
        </w:rPr>
        <w:t>appréciation générale</w:t>
      </w:r>
      <w:r>
        <w:rPr>
          <w:b/>
          <w:bCs/>
          <w:sz w:val="25"/>
          <w:szCs w:val="25"/>
        </w:rPr>
        <w:t xml:space="preserve"> </w:t>
      </w:r>
    </w:p>
    <w:p w:rsidR="00DF7109" w:rsidRDefault="00DF7109" w:rsidP="008B29A9">
      <w:pPr>
        <w:spacing w:before="120" w:after="120" w:line="288" w:lineRule="auto"/>
        <w:jc w:val="both"/>
        <w:rPr>
          <w:b/>
          <w:bCs/>
          <w:sz w:val="25"/>
          <w:szCs w:val="25"/>
        </w:rPr>
      </w:pPr>
      <w:r>
        <w:rPr>
          <w:b/>
          <w:bCs/>
          <w:sz w:val="25"/>
          <w:szCs w:val="25"/>
        </w:rPr>
        <w:tab/>
      </w:r>
    </w:p>
    <w:p w:rsidR="00DF7109" w:rsidRDefault="00DF7109" w:rsidP="008B29A9">
      <w:pPr>
        <w:spacing w:before="120" w:after="120" w:line="288" w:lineRule="auto"/>
        <w:jc w:val="both"/>
        <w:rPr>
          <w:b/>
          <w:bCs/>
          <w:sz w:val="25"/>
          <w:szCs w:val="25"/>
        </w:rPr>
      </w:pPr>
      <w:r>
        <w:rPr>
          <w:b/>
          <w:bCs/>
          <w:sz w:val="25"/>
          <w:szCs w:val="25"/>
        </w:rPr>
        <w:tab/>
      </w:r>
      <w:r>
        <w:rPr>
          <w:b/>
          <w:bCs/>
          <w:sz w:val="25"/>
          <w:szCs w:val="25"/>
        </w:rPr>
        <w:tab/>
      </w:r>
    </w:p>
    <w:p w:rsidR="008B29A9" w:rsidRPr="00A7277F" w:rsidRDefault="008B29A9" w:rsidP="008B29A9">
      <w:pPr>
        <w:spacing w:before="120" w:after="120" w:line="288" w:lineRule="auto"/>
        <w:jc w:val="both"/>
        <w:rPr>
          <w:b/>
          <w:bCs/>
          <w:sz w:val="25"/>
          <w:szCs w:val="25"/>
        </w:rPr>
      </w:pPr>
      <w:r w:rsidRPr="00A7277F">
        <w:rPr>
          <w:b/>
          <w:bCs/>
          <w:sz w:val="25"/>
          <w:szCs w:val="25"/>
        </w:rPr>
        <w:t>1 – IS du par la « STPM » au titre de l’exercice 2012</w:t>
      </w:r>
    </w:p>
    <w:tbl>
      <w:tblPr>
        <w:tblStyle w:val="Grilledutableau"/>
        <w:tblW w:w="0" w:type="auto"/>
        <w:tblLook w:val="04A0"/>
      </w:tblPr>
      <w:tblGrid>
        <w:gridCol w:w="6175"/>
        <w:gridCol w:w="1557"/>
        <w:gridCol w:w="1556"/>
      </w:tblGrid>
      <w:tr w:rsidR="00B25D36" w:rsidRPr="00A7277F" w:rsidTr="00B25D36">
        <w:tc>
          <w:tcPr>
            <w:tcW w:w="6204" w:type="dxa"/>
          </w:tcPr>
          <w:p w:rsidR="00B25D36" w:rsidRPr="00A7277F" w:rsidRDefault="00B25D36" w:rsidP="00B25D36">
            <w:pPr>
              <w:spacing w:before="60" w:after="60" w:line="300" w:lineRule="auto"/>
              <w:rPr>
                <w:sz w:val="25"/>
                <w:szCs w:val="25"/>
              </w:rPr>
            </w:pPr>
          </w:p>
        </w:tc>
        <w:tc>
          <w:tcPr>
            <w:tcW w:w="1559" w:type="dxa"/>
          </w:tcPr>
          <w:p w:rsidR="00B25D36" w:rsidRPr="00994757" w:rsidRDefault="00994757" w:rsidP="00B25D36">
            <w:pPr>
              <w:spacing w:before="60" w:after="60" w:line="300" w:lineRule="auto"/>
              <w:rPr>
                <w:b/>
                <w:bCs/>
              </w:rPr>
            </w:pPr>
            <w:r w:rsidRPr="00994757">
              <w:rPr>
                <w:b/>
                <w:bCs/>
              </w:rPr>
              <w:t>Déductions</w:t>
            </w:r>
          </w:p>
        </w:tc>
        <w:tc>
          <w:tcPr>
            <w:tcW w:w="1449" w:type="dxa"/>
          </w:tcPr>
          <w:p w:rsidR="00B25D36" w:rsidRPr="00994757" w:rsidRDefault="00994757" w:rsidP="00B25D36">
            <w:pPr>
              <w:spacing w:before="60" w:after="60" w:line="300" w:lineRule="auto"/>
              <w:rPr>
                <w:b/>
                <w:bCs/>
              </w:rPr>
            </w:pPr>
            <w:r w:rsidRPr="00994757">
              <w:rPr>
                <w:b/>
                <w:bCs/>
              </w:rPr>
              <w:t>Réintégrations</w:t>
            </w:r>
          </w:p>
        </w:tc>
      </w:tr>
      <w:tr w:rsidR="00B25D36" w:rsidRPr="00A7277F" w:rsidTr="00B25D36">
        <w:tc>
          <w:tcPr>
            <w:tcW w:w="6204" w:type="dxa"/>
          </w:tcPr>
          <w:p w:rsidR="00B25D36" w:rsidRPr="00A7277F" w:rsidRDefault="00B25D36" w:rsidP="00B25D36">
            <w:pPr>
              <w:spacing w:before="60" w:after="60" w:line="300" w:lineRule="auto"/>
              <w:rPr>
                <w:b/>
                <w:bCs/>
                <w:sz w:val="25"/>
                <w:szCs w:val="25"/>
              </w:rPr>
            </w:pPr>
            <w:r w:rsidRPr="00A7277F">
              <w:rPr>
                <w:b/>
                <w:bCs/>
                <w:sz w:val="25"/>
                <w:szCs w:val="25"/>
              </w:rPr>
              <w:t>Bénéfice de l’exercice</w:t>
            </w:r>
          </w:p>
        </w:tc>
        <w:tc>
          <w:tcPr>
            <w:tcW w:w="1559" w:type="dxa"/>
          </w:tcPr>
          <w:p w:rsidR="00B25D36" w:rsidRPr="00A7277F" w:rsidRDefault="00B25D36" w:rsidP="00B25D36">
            <w:pPr>
              <w:spacing w:before="60" w:after="60" w:line="300" w:lineRule="auto"/>
              <w:jc w:val="right"/>
              <w:rPr>
                <w:b/>
                <w:bCs/>
                <w:sz w:val="25"/>
                <w:szCs w:val="25"/>
              </w:rPr>
            </w:pPr>
          </w:p>
        </w:tc>
        <w:tc>
          <w:tcPr>
            <w:tcW w:w="1449" w:type="dxa"/>
          </w:tcPr>
          <w:p w:rsidR="00B25D36" w:rsidRPr="00A7277F" w:rsidRDefault="00B25D36" w:rsidP="00B25D36">
            <w:pPr>
              <w:spacing w:before="60" w:after="60" w:line="300" w:lineRule="auto"/>
              <w:jc w:val="right"/>
              <w:rPr>
                <w:b/>
                <w:bCs/>
                <w:sz w:val="25"/>
                <w:szCs w:val="25"/>
              </w:rPr>
            </w:pPr>
            <w:r w:rsidRPr="00A7277F">
              <w:rPr>
                <w:b/>
                <w:bCs/>
                <w:sz w:val="25"/>
                <w:szCs w:val="25"/>
              </w:rPr>
              <w:t>800.000</w:t>
            </w:r>
          </w:p>
        </w:tc>
      </w:tr>
      <w:tr w:rsidR="00B25D36" w:rsidRPr="00A7277F" w:rsidTr="00B25D36">
        <w:tc>
          <w:tcPr>
            <w:tcW w:w="6204" w:type="dxa"/>
          </w:tcPr>
          <w:p w:rsidR="00B25D36" w:rsidRPr="00A7277F" w:rsidRDefault="00B25D36" w:rsidP="00B25D36">
            <w:pPr>
              <w:spacing w:before="60" w:after="60" w:line="300" w:lineRule="auto"/>
              <w:rPr>
                <w:sz w:val="25"/>
                <w:szCs w:val="25"/>
              </w:rPr>
            </w:pPr>
            <w:r w:rsidRPr="00A7277F">
              <w:rPr>
                <w:sz w:val="25"/>
                <w:szCs w:val="25"/>
              </w:rPr>
              <w:t>Plus-value sur cession d’actions cotées</w:t>
            </w:r>
            <w:r w:rsidR="002A167D">
              <w:rPr>
                <w:sz w:val="25"/>
                <w:szCs w:val="25"/>
              </w:rPr>
              <w:t xml:space="preserve"> non imposable :  (</w:t>
            </w:r>
            <w:r w:rsidR="002A167D" w:rsidRPr="002A167D">
              <w:rPr>
                <w:i/>
                <w:iCs/>
                <w:sz w:val="24"/>
                <w:szCs w:val="24"/>
              </w:rPr>
              <w:t>acquises avant le premier janvier 2011 : 800 x (150 – 110</w:t>
            </w:r>
            <w:r w:rsidR="002A167D">
              <w:rPr>
                <w:sz w:val="25"/>
                <w:szCs w:val="25"/>
              </w:rPr>
              <w:t>)</w:t>
            </w:r>
          </w:p>
        </w:tc>
        <w:tc>
          <w:tcPr>
            <w:tcW w:w="1559" w:type="dxa"/>
          </w:tcPr>
          <w:p w:rsidR="00B25D36" w:rsidRPr="00A7277F" w:rsidRDefault="00B25D36" w:rsidP="00B25D36">
            <w:pPr>
              <w:spacing w:before="60" w:after="60" w:line="300" w:lineRule="auto"/>
              <w:jc w:val="right"/>
              <w:rPr>
                <w:sz w:val="25"/>
                <w:szCs w:val="25"/>
              </w:rPr>
            </w:pPr>
            <w:r w:rsidRPr="00A7277F">
              <w:rPr>
                <w:sz w:val="25"/>
                <w:szCs w:val="25"/>
              </w:rPr>
              <w:t>32.000</w:t>
            </w:r>
          </w:p>
        </w:tc>
        <w:tc>
          <w:tcPr>
            <w:tcW w:w="1449" w:type="dxa"/>
          </w:tcPr>
          <w:p w:rsidR="00B25D36" w:rsidRPr="00A7277F" w:rsidRDefault="00B25D36" w:rsidP="00B25D36">
            <w:pPr>
              <w:spacing w:before="60" w:after="60" w:line="300" w:lineRule="auto"/>
              <w:jc w:val="right"/>
              <w:rPr>
                <w:sz w:val="25"/>
                <w:szCs w:val="25"/>
              </w:rPr>
            </w:pPr>
          </w:p>
        </w:tc>
      </w:tr>
      <w:tr w:rsidR="002A167D" w:rsidRPr="00A7277F" w:rsidTr="00B25D36">
        <w:tc>
          <w:tcPr>
            <w:tcW w:w="6204" w:type="dxa"/>
          </w:tcPr>
          <w:p w:rsidR="002A167D" w:rsidRPr="00A7277F" w:rsidRDefault="002A167D" w:rsidP="0050414C">
            <w:pPr>
              <w:spacing w:before="60" w:after="60" w:line="300" w:lineRule="auto"/>
              <w:rPr>
                <w:sz w:val="25"/>
                <w:szCs w:val="25"/>
              </w:rPr>
            </w:pPr>
            <w:r>
              <w:rPr>
                <w:sz w:val="25"/>
                <w:szCs w:val="25"/>
              </w:rPr>
              <w:t xml:space="preserve">Plus-value sur cession des actions cotées deuxième lot : </w:t>
            </w:r>
            <w:r w:rsidR="0050414C">
              <w:rPr>
                <w:sz w:val="25"/>
                <w:szCs w:val="25"/>
              </w:rPr>
              <w:t xml:space="preserve">6.000 DT. </w:t>
            </w:r>
            <w:r>
              <w:rPr>
                <w:sz w:val="25"/>
                <w:szCs w:val="25"/>
              </w:rPr>
              <w:t>imposable (</w:t>
            </w:r>
            <w:r w:rsidRPr="002A167D">
              <w:rPr>
                <w:i/>
                <w:iCs/>
                <w:sz w:val="23"/>
                <w:szCs w:val="23"/>
              </w:rPr>
              <w:t>acquise après le 1/1/2011 et vendu en 2012)</w:t>
            </w:r>
            <w:r w:rsidR="0050414C" w:rsidRPr="002A167D">
              <w:rPr>
                <w:i/>
                <w:iCs/>
                <w:sz w:val="23"/>
                <w:szCs w:val="23"/>
              </w:rPr>
              <w:t xml:space="preserve"> </w:t>
            </w:r>
            <w:r w:rsidRPr="002A167D">
              <w:rPr>
                <w:i/>
                <w:iCs/>
                <w:sz w:val="23"/>
                <w:szCs w:val="23"/>
              </w:rPr>
              <w:t>La plus value étant incluse dans les produits de l’exercice aucun traitement</w:t>
            </w:r>
            <w:r>
              <w:rPr>
                <w:sz w:val="25"/>
                <w:szCs w:val="25"/>
              </w:rPr>
              <w:t>.</w:t>
            </w:r>
          </w:p>
        </w:tc>
        <w:tc>
          <w:tcPr>
            <w:tcW w:w="1559" w:type="dxa"/>
          </w:tcPr>
          <w:p w:rsidR="002A167D" w:rsidRPr="00A7277F" w:rsidRDefault="002A167D" w:rsidP="00B25D36">
            <w:pPr>
              <w:spacing w:before="60" w:after="60" w:line="300" w:lineRule="auto"/>
              <w:jc w:val="right"/>
              <w:rPr>
                <w:sz w:val="25"/>
                <w:szCs w:val="25"/>
              </w:rPr>
            </w:pPr>
          </w:p>
        </w:tc>
        <w:tc>
          <w:tcPr>
            <w:tcW w:w="1449" w:type="dxa"/>
          </w:tcPr>
          <w:p w:rsidR="002A167D" w:rsidRPr="00A7277F" w:rsidRDefault="002A167D" w:rsidP="00B25D36">
            <w:pPr>
              <w:spacing w:before="60" w:after="60" w:line="300" w:lineRule="auto"/>
              <w:jc w:val="right"/>
              <w:rPr>
                <w:sz w:val="25"/>
                <w:szCs w:val="25"/>
              </w:rPr>
            </w:pPr>
          </w:p>
        </w:tc>
      </w:tr>
      <w:tr w:rsidR="00B25D36" w:rsidRPr="00A7277F" w:rsidTr="00B25D36">
        <w:tc>
          <w:tcPr>
            <w:tcW w:w="6204" w:type="dxa"/>
          </w:tcPr>
          <w:p w:rsidR="00B25D36" w:rsidRPr="00A7277F" w:rsidRDefault="00B25D36" w:rsidP="00B25D36">
            <w:pPr>
              <w:spacing w:before="60" w:after="60" w:line="300" w:lineRule="auto"/>
              <w:rPr>
                <w:sz w:val="25"/>
                <w:szCs w:val="25"/>
              </w:rPr>
            </w:pPr>
            <w:r w:rsidRPr="00A7277F">
              <w:rPr>
                <w:sz w:val="25"/>
                <w:szCs w:val="25"/>
              </w:rPr>
              <w:t>Réintégration (définitive) provision</w:t>
            </w:r>
            <w:r w:rsidR="002A167D">
              <w:rPr>
                <w:sz w:val="25"/>
                <w:szCs w:val="25"/>
              </w:rPr>
              <w:t>s</w:t>
            </w:r>
            <w:r w:rsidRPr="00A7277F">
              <w:rPr>
                <w:sz w:val="25"/>
                <w:szCs w:val="25"/>
              </w:rPr>
              <w:t xml:space="preserve"> pour risques</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B25D36" w:rsidP="00B25D36">
            <w:pPr>
              <w:spacing w:before="60" w:after="60" w:line="300" w:lineRule="auto"/>
              <w:jc w:val="right"/>
              <w:rPr>
                <w:sz w:val="25"/>
                <w:szCs w:val="25"/>
              </w:rPr>
            </w:pPr>
            <w:r w:rsidRPr="00A7277F">
              <w:rPr>
                <w:sz w:val="25"/>
                <w:szCs w:val="25"/>
              </w:rPr>
              <w:t>50.000</w:t>
            </w:r>
          </w:p>
        </w:tc>
      </w:tr>
      <w:tr w:rsidR="00B25D36" w:rsidRPr="00A7277F" w:rsidTr="00B25D36">
        <w:tc>
          <w:tcPr>
            <w:tcW w:w="6204" w:type="dxa"/>
          </w:tcPr>
          <w:p w:rsidR="00B25D36" w:rsidRPr="00A7277F" w:rsidRDefault="00B25D36" w:rsidP="00B25D36">
            <w:pPr>
              <w:spacing w:before="60" w:after="60" w:line="300" w:lineRule="auto"/>
              <w:rPr>
                <w:sz w:val="25"/>
                <w:szCs w:val="25"/>
              </w:rPr>
            </w:pPr>
            <w:r w:rsidRPr="00A7277F">
              <w:rPr>
                <w:sz w:val="25"/>
                <w:szCs w:val="25"/>
              </w:rPr>
              <w:t>Réintégration (provisoire) provision</w:t>
            </w:r>
            <w:r w:rsidR="002A167D">
              <w:rPr>
                <w:sz w:val="25"/>
                <w:szCs w:val="25"/>
              </w:rPr>
              <w:t>s</w:t>
            </w:r>
            <w:r w:rsidRPr="00A7277F">
              <w:rPr>
                <w:sz w:val="25"/>
                <w:szCs w:val="25"/>
              </w:rPr>
              <w:t xml:space="preserve"> pour créances douteuses</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B25D36" w:rsidP="00B25D36">
            <w:pPr>
              <w:spacing w:before="60" w:after="60" w:line="300" w:lineRule="auto"/>
              <w:jc w:val="right"/>
              <w:rPr>
                <w:sz w:val="25"/>
                <w:szCs w:val="25"/>
              </w:rPr>
            </w:pPr>
            <w:r w:rsidRPr="00A7277F">
              <w:rPr>
                <w:sz w:val="25"/>
                <w:szCs w:val="25"/>
              </w:rPr>
              <w:t>85.000</w:t>
            </w:r>
          </w:p>
        </w:tc>
      </w:tr>
      <w:tr w:rsidR="00B25D36" w:rsidRPr="00A7277F" w:rsidTr="00B25D36">
        <w:tc>
          <w:tcPr>
            <w:tcW w:w="6204" w:type="dxa"/>
          </w:tcPr>
          <w:p w:rsidR="00B25D36" w:rsidRPr="00A7277F" w:rsidRDefault="00B25D36" w:rsidP="00B25D36">
            <w:pPr>
              <w:spacing w:before="60" w:after="60" w:line="300" w:lineRule="auto"/>
              <w:rPr>
                <w:sz w:val="25"/>
                <w:szCs w:val="25"/>
              </w:rPr>
            </w:pPr>
            <w:r w:rsidRPr="00A7277F">
              <w:rPr>
                <w:sz w:val="25"/>
                <w:szCs w:val="25"/>
              </w:rPr>
              <w:t>Réintégration moins value suite à la levée d’option</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B25D36" w:rsidP="00B25D36">
            <w:pPr>
              <w:spacing w:before="60" w:after="60" w:line="300" w:lineRule="auto"/>
              <w:jc w:val="right"/>
              <w:rPr>
                <w:sz w:val="25"/>
                <w:szCs w:val="25"/>
              </w:rPr>
            </w:pPr>
            <w:r w:rsidRPr="00A7277F">
              <w:rPr>
                <w:sz w:val="25"/>
                <w:szCs w:val="25"/>
              </w:rPr>
              <w:t>40.000</w:t>
            </w:r>
          </w:p>
        </w:tc>
      </w:tr>
      <w:tr w:rsidR="00714B2B" w:rsidRPr="00A7277F" w:rsidTr="00B25D36">
        <w:tc>
          <w:tcPr>
            <w:tcW w:w="6204" w:type="dxa"/>
          </w:tcPr>
          <w:p w:rsidR="00714B2B" w:rsidRPr="00A7277F" w:rsidRDefault="00714B2B" w:rsidP="00B25D36">
            <w:pPr>
              <w:spacing w:before="60" w:after="60" w:line="300" w:lineRule="auto"/>
              <w:rPr>
                <w:sz w:val="25"/>
                <w:szCs w:val="25"/>
              </w:rPr>
            </w:pPr>
            <w:r w:rsidRPr="00A7277F">
              <w:rPr>
                <w:sz w:val="25"/>
                <w:szCs w:val="25"/>
              </w:rPr>
              <w:t xml:space="preserve">Déduction des dividendes exonérés </w:t>
            </w:r>
          </w:p>
        </w:tc>
        <w:tc>
          <w:tcPr>
            <w:tcW w:w="1559" w:type="dxa"/>
          </w:tcPr>
          <w:p w:rsidR="00714B2B" w:rsidRPr="00A7277F" w:rsidRDefault="00714B2B" w:rsidP="00B25D36">
            <w:pPr>
              <w:spacing w:before="60" w:after="60" w:line="300" w:lineRule="auto"/>
              <w:jc w:val="right"/>
              <w:rPr>
                <w:sz w:val="25"/>
                <w:szCs w:val="25"/>
              </w:rPr>
            </w:pPr>
            <w:r w:rsidRPr="00A7277F">
              <w:rPr>
                <w:sz w:val="25"/>
                <w:szCs w:val="25"/>
              </w:rPr>
              <w:t>30.000</w:t>
            </w:r>
          </w:p>
        </w:tc>
        <w:tc>
          <w:tcPr>
            <w:tcW w:w="1449" w:type="dxa"/>
          </w:tcPr>
          <w:p w:rsidR="00714B2B" w:rsidRPr="00A7277F" w:rsidRDefault="00714B2B" w:rsidP="00B25D36">
            <w:pPr>
              <w:spacing w:before="60" w:after="60" w:line="300" w:lineRule="auto"/>
              <w:jc w:val="right"/>
              <w:rPr>
                <w:sz w:val="25"/>
                <w:szCs w:val="25"/>
              </w:rPr>
            </w:pPr>
          </w:p>
        </w:tc>
      </w:tr>
      <w:tr w:rsidR="00B25D36" w:rsidRPr="00A7277F" w:rsidTr="00B25D36">
        <w:tc>
          <w:tcPr>
            <w:tcW w:w="6204" w:type="dxa"/>
          </w:tcPr>
          <w:p w:rsidR="00B25D36" w:rsidRPr="00A7277F" w:rsidRDefault="00B25D36" w:rsidP="00B25D36">
            <w:pPr>
              <w:spacing w:before="60" w:after="60" w:line="300" w:lineRule="auto"/>
              <w:rPr>
                <w:sz w:val="25"/>
                <w:szCs w:val="25"/>
              </w:rPr>
            </w:pPr>
            <w:r w:rsidRPr="00A7277F">
              <w:rPr>
                <w:sz w:val="25"/>
                <w:szCs w:val="25"/>
              </w:rPr>
              <w:lastRenderedPageBreak/>
              <w:t>Déduction C.A marché algérien : établissement stable</w:t>
            </w:r>
          </w:p>
        </w:tc>
        <w:tc>
          <w:tcPr>
            <w:tcW w:w="1559" w:type="dxa"/>
          </w:tcPr>
          <w:p w:rsidR="00B25D36" w:rsidRPr="00A7277F" w:rsidRDefault="00B25D36" w:rsidP="00B25D36">
            <w:pPr>
              <w:spacing w:before="60" w:after="60" w:line="300" w:lineRule="auto"/>
              <w:jc w:val="right"/>
              <w:rPr>
                <w:sz w:val="25"/>
                <w:szCs w:val="25"/>
              </w:rPr>
            </w:pPr>
            <w:r w:rsidRPr="00994757">
              <w:rPr>
                <w:sz w:val="24"/>
                <w:szCs w:val="24"/>
              </w:rPr>
              <w:t>5.000.000</w:t>
            </w:r>
            <w:r w:rsidR="00994757">
              <w:rPr>
                <w:sz w:val="25"/>
                <w:szCs w:val="25"/>
              </w:rPr>
              <w:t>*</w:t>
            </w:r>
          </w:p>
        </w:tc>
        <w:tc>
          <w:tcPr>
            <w:tcW w:w="1449" w:type="dxa"/>
          </w:tcPr>
          <w:p w:rsidR="00B25D36" w:rsidRPr="00A7277F" w:rsidRDefault="00B25D36" w:rsidP="00B25D36">
            <w:pPr>
              <w:spacing w:before="60" w:after="60" w:line="300" w:lineRule="auto"/>
              <w:jc w:val="right"/>
              <w:rPr>
                <w:sz w:val="25"/>
                <w:szCs w:val="25"/>
              </w:rPr>
            </w:pPr>
          </w:p>
        </w:tc>
      </w:tr>
      <w:tr w:rsidR="00B25D36" w:rsidRPr="00A7277F" w:rsidTr="00B25D36">
        <w:tc>
          <w:tcPr>
            <w:tcW w:w="6204" w:type="dxa"/>
          </w:tcPr>
          <w:p w:rsidR="00B25D36" w:rsidRPr="00A7277F" w:rsidRDefault="00714B2B" w:rsidP="00B25D36">
            <w:pPr>
              <w:spacing w:before="60" w:after="60" w:line="300" w:lineRule="auto"/>
              <w:rPr>
                <w:sz w:val="25"/>
                <w:szCs w:val="25"/>
              </w:rPr>
            </w:pPr>
            <w:r w:rsidRPr="00A7277F">
              <w:rPr>
                <w:sz w:val="25"/>
                <w:szCs w:val="25"/>
              </w:rPr>
              <w:t xml:space="preserve">Réintégration charges marché algérien : </w:t>
            </w:r>
            <w:r w:rsidRPr="00EA654F">
              <w:t>établissement stable</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714B2B" w:rsidP="00B25D36">
            <w:pPr>
              <w:spacing w:before="60" w:after="60" w:line="300" w:lineRule="auto"/>
              <w:jc w:val="right"/>
              <w:rPr>
                <w:sz w:val="25"/>
                <w:szCs w:val="25"/>
              </w:rPr>
            </w:pPr>
            <w:r w:rsidRPr="00A7277F">
              <w:rPr>
                <w:sz w:val="25"/>
                <w:szCs w:val="25"/>
              </w:rPr>
              <w:t>4.200.000</w:t>
            </w:r>
            <w:r w:rsidR="00994757">
              <w:rPr>
                <w:sz w:val="25"/>
                <w:szCs w:val="25"/>
              </w:rPr>
              <w:t>*</w:t>
            </w:r>
          </w:p>
        </w:tc>
      </w:tr>
      <w:tr w:rsidR="00B25D36" w:rsidRPr="00A7277F" w:rsidTr="00B25D36">
        <w:tc>
          <w:tcPr>
            <w:tcW w:w="6204" w:type="dxa"/>
          </w:tcPr>
          <w:p w:rsidR="00B25D36" w:rsidRPr="002A167D" w:rsidRDefault="00714B2B" w:rsidP="002A167D">
            <w:pPr>
              <w:spacing w:before="60" w:after="60" w:line="300" w:lineRule="auto"/>
              <w:rPr>
                <w:sz w:val="25"/>
                <w:szCs w:val="25"/>
              </w:rPr>
            </w:pPr>
            <w:r w:rsidRPr="002A167D">
              <w:rPr>
                <w:sz w:val="25"/>
                <w:szCs w:val="25"/>
              </w:rPr>
              <w:t>Quote-part frais généraux d’administration non déductibles</w:t>
            </w:r>
            <w:r w:rsidR="002A167D">
              <w:rPr>
                <w:sz w:val="25"/>
                <w:szCs w:val="25"/>
              </w:rPr>
              <w:t> : 1.300.000 x 20%   [</w:t>
            </w:r>
            <w:r w:rsidR="002A167D" w:rsidRPr="002A167D">
              <w:rPr>
                <w:sz w:val="24"/>
                <w:szCs w:val="24"/>
              </w:rPr>
              <w:t>20% = 5.000 / 25.000</w:t>
            </w:r>
            <w:r w:rsidR="002A167D">
              <w:rPr>
                <w:sz w:val="25"/>
                <w:szCs w:val="25"/>
              </w:rPr>
              <w:t>]</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714B2B" w:rsidP="00B25D36">
            <w:pPr>
              <w:spacing w:before="60" w:after="60" w:line="300" w:lineRule="auto"/>
              <w:jc w:val="right"/>
              <w:rPr>
                <w:sz w:val="25"/>
                <w:szCs w:val="25"/>
              </w:rPr>
            </w:pPr>
            <w:r w:rsidRPr="00A7277F">
              <w:rPr>
                <w:sz w:val="25"/>
                <w:szCs w:val="25"/>
              </w:rPr>
              <w:t>260.000</w:t>
            </w:r>
          </w:p>
        </w:tc>
      </w:tr>
      <w:tr w:rsidR="00B25D36" w:rsidRPr="00A7277F" w:rsidTr="00B25D36">
        <w:tc>
          <w:tcPr>
            <w:tcW w:w="6204" w:type="dxa"/>
          </w:tcPr>
          <w:p w:rsidR="00B25D36" w:rsidRPr="00A7277F" w:rsidRDefault="00714B2B" w:rsidP="00B25D36">
            <w:pPr>
              <w:spacing w:before="60" w:after="60" w:line="300" w:lineRule="auto"/>
              <w:rPr>
                <w:sz w:val="25"/>
                <w:szCs w:val="25"/>
              </w:rPr>
            </w:pPr>
            <w:r w:rsidRPr="00A7277F">
              <w:rPr>
                <w:sz w:val="25"/>
                <w:szCs w:val="25"/>
              </w:rPr>
              <w:t>Réintégration des droits d’enregistrement (</w:t>
            </w:r>
            <w:r w:rsidRPr="003A1DD2">
              <w:t>élément de coût</w:t>
            </w:r>
            <w:r w:rsidRPr="00A7277F">
              <w:rPr>
                <w:sz w:val="25"/>
                <w:szCs w:val="25"/>
              </w:rPr>
              <w:t>)</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714B2B" w:rsidP="00B25D36">
            <w:pPr>
              <w:spacing w:before="60" w:after="60" w:line="300" w:lineRule="auto"/>
              <w:jc w:val="right"/>
              <w:rPr>
                <w:sz w:val="25"/>
                <w:szCs w:val="25"/>
              </w:rPr>
            </w:pPr>
            <w:r w:rsidRPr="00A7277F">
              <w:rPr>
                <w:sz w:val="25"/>
                <w:szCs w:val="25"/>
              </w:rPr>
              <w:t>12.000</w:t>
            </w:r>
          </w:p>
        </w:tc>
      </w:tr>
      <w:tr w:rsidR="00B25D36" w:rsidRPr="00A7277F" w:rsidTr="00B25D36">
        <w:tc>
          <w:tcPr>
            <w:tcW w:w="6204" w:type="dxa"/>
          </w:tcPr>
          <w:p w:rsidR="00B25D36" w:rsidRPr="003A1DD2" w:rsidRDefault="00714B2B" w:rsidP="00714B2B">
            <w:pPr>
              <w:spacing w:before="60" w:after="60" w:line="300" w:lineRule="auto"/>
              <w:jc w:val="center"/>
              <w:rPr>
                <w:b/>
                <w:bCs/>
                <w:sz w:val="25"/>
                <w:szCs w:val="25"/>
              </w:rPr>
            </w:pPr>
            <w:r w:rsidRPr="003A1DD2">
              <w:rPr>
                <w:b/>
                <w:bCs/>
                <w:sz w:val="25"/>
                <w:szCs w:val="25"/>
              </w:rPr>
              <w:t>Totaux</w:t>
            </w:r>
          </w:p>
        </w:tc>
        <w:tc>
          <w:tcPr>
            <w:tcW w:w="1559" w:type="dxa"/>
          </w:tcPr>
          <w:p w:rsidR="00B25D36" w:rsidRPr="003A1DD2" w:rsidRDefault="00714B2B" w:rsidP="00B25D36">
            <w:pPr>
              <w:spacing w:before="60" w:after="60" w:line="300" w:lineRule="auto"/>
              <w:jc w:val="right"/>
              <w:rPr>
                <w:b/>
                <w:bCs/>
                <w:sz w:val="25"/>
                <w:szCs w:val="25"/>
              </w:rPr>
            </w:pPr>
            <w:r w:rsidRPr="003A1DD2">
              <w:rPr>
                <w:b/>
                <w:bCs/>
                <w:sz w:val="25"/>
                <w:szCs w:val="25"/>
              </w:rPr>
              <w:t>5.062.000</w:t>
            </w:r>
          </w:p>
        </w:tc>
        <w:tc>
          <w:tcPr>
            <w:tcW w:w="1449" w:type="dxa"/>
          </w:tcPr>
          <w:p w:rsidR="00B25D36" w:rsidRPr="003A1DD2" w:rsidRDefault="00714B2B" w:rsidP="00B25D36">
            <w:pPr>
              <w:spacing w:before="60" w:after="60" w:line="300" w:lineRule="auto"/>
              <w:jc w:val="right"/>
              <w:rPr>
                <w:b/>
                <w:bCs/>
                <w:sz w:val="25"/>
                <w:szCs w:val="25"/>
              </w:rPr>
            </w:pPr>
            <w:r w:rsidRPr="003A1DD2">
              <w:rPr>
                <w:b/>
                <w:bCs/>
                <w:sz w:val="25"/>
                <w:szCs w:val="25"/>
              </w:rPr>
              <w:t>5.447.000</w:t>
            </w:r>
          </w:p>
        </w:tc>
      </w:tr>
      <w:tr w:rsidR="00B25D36" w:rsidRPr="00A7277F" w:rsidTr="00B25D36">
        <w:tc>
          <w:tcPr>
            <w:tcW w:w="6204" w:type="dxa"/>
          </w:tcPr>
          <w:p w:rsidR="00B25D36" w:rsidRPr="00A7277F" w:rsidRDefault="00714B2B" w:rsidP="00B25D36">
            <w:pPr>
              <w:spacing w:before="60" w:after="60" w:line="300" w:lineRule="auto"/>
              <w:rPr>
                <w:sz w:val="25"/>
                <w:szCs w:val="25"/>
              </w:rPr>
            </w:pPr>
            <w:r w:rsidRPr="00A7277F">
              <w:rPr>
                <w:sz w:val="25"/>
                <w:szCs w:val="25"/>
              </w:rPr>
              <w:t>Bénéfice fiscal avant déduction des provisions</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50414C" w:rsidRDefault="00714B2B" w:rsidP="00B25D36">
            <w:pPr>
              <w:spacing w:before="60" w:after="60" w:line="300" w:lineRule="auto"/>
              <w:jc w:val="right"/>
              <w:rPr>
                <w:b/>
                <w:bCs/>
                <w:sz w:val="25"/>
                <w:szCs w:val="25"/>
              </w:rPr>
            </w:pPr>
            <w:r w:rsidRPr="0050414C">
              <w:rPr>
                <w:b/>
                <w:bCs/>
                <w:sz w:val="25"/>
                <w:szCs w:val="25"/>
              </w:rPr>
              <w:t>385.000</w:t>
            </w:r>
          </w:p>
        </w:tc>
      </w:tr>
      <w:tr w:rsidR="00B25D36" w:rsidRPr="00A7277F" w:rsidTr="00B25D36">
        <w:tc>
          <w:tcPr>
            <w:tcW w:w="6204" w:type="dxa"/>
          </w:tcPr>
          <w:p w:rsidR="00B25D36" w:rsidRPr="00A7277F" w:rsidRDefault="00714B2B" w:rsidP="00B25D36">
            <w:pPr>
              <w:spacing w:before="60" w:after="60" w:line="300" w:lineRule="auto"/>
              <w:rPr>
                <w:sz w:val="25"/>
                <w:szCs w:val="25"/>
              </w:rPr>
            </w:pPr>
            <w:r w:rsidRPr="00A7277F">
              <w:rPr>
                <w:sz w:val="25"/>
                <w:szCs w:val="25"/>
              </w:rPr>
              <w:t>Déduction des provisions pour créances douteuses</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714B2B" w:rsidP="00B25D36">
            <w:pPr>
              <w:spacing w:before="60" w:after="60" w:line="300" w:lineRule="auto"/>
              <w:jc w:val="right"/>
              <w:rPr>
                <w:sz w:val="25"/>
                <w:szCs w:val="25"/>
              </w:rPr>
            </w:pPr>
            <w:r w:rsidRPr="00A7277F">
              <w:rPr>
                <w:sz w:val="25"/>
                <w:szCs w:val="25"/>
              </w:rPr>
              <w:t>(85.000)</w:t>
            </w:r>
          </w:p>
        </w:tc>
      </w:tr>
      <w:tr w:rsidR="00B25D36" w:rsidRPr="00A7277F" w:rsidTr="00B25D36">
        <w:tc>
          <w:tcPr>
            <w:tcW w:w="6204" w:type="dxa"/>
          </w:tcPr>
          <w:p w:rsidR="00B25D36" w:rsidRPr="00A7277F" w:rsidRDefault="00714B2B" w:rsidP="00B25D36">
            <w:pPr>
              <w:spacing w:before="60" w:after="60" w:line="300" w:lineRule="auto"/>
              <w:rPr>
                <w:sz w:val="25"/>
                <w:szCs w:val="25"/>
              </w:rPr>
            </w:pPr>
            <w:r w:rsidRPr="00A7277F">
              <w:rPr>
                <w:sz w:val="25"/>
                <w:szCs w:val="25"/>
              </w:rPr>
              <w:t>Déduction des moins-values sur levée d’option (5%)</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714B2B" w:rsidP="00B25D36">
            <w:pPr>
              <w:spacing w:before="60" w:after="60" w:line="300" w:lineRule="auto"/>
              <w:jc w:val="right"/>
              <w:rPr>
                <w:sz w:val="25"/>
                <w:szCs w:val="25"/>
              </w:rPr>
            </w:pPr>
            <w:r w:rsidRPr="00A7277F">
              <w:rPr>
                <w:sz w:val="25"/>
                <w:szCs w:val="25"/>
              </w:rPr>
              <w:t>(15.000)</w:t>
            </w:r>
          </w:p>
        </w:tc>
      </w:tr>
      <w:tr w:rsidR="0050414C" w:rsidRPr="00A7277F" w:rsidTr="00B25D36">
        <w:tc>
          <w:tcPr>
            <w:tcW w:w="6204" w:type="dxa"/>
          </w:tcPr>
          <w:p w:rsidR="0050414C" w:rsidRPr="00A7277F" w:rsidRDefault="0050414C" w:rsidP="0050414C">
            <w:pPr>
              <w:spacing w:before="60" w:after="60" w:line="300" w:lineRule="auto"/>
              <w:rPr>
                <w:sz w:val="25"/>
                <w:szCs w:val="25"/>
              </w:rPr>
            </w:pPr>
            <w:r w:rsidRPr="0050414C">
              <w:rPr>
                <w:sz w:val="24"/>
                <w:szCs w:val="24"/>
              </w:rPr>
              <w:t>BENEFICE FISCAL SERVANT POUR LE CALCUL DU POURCENTAGE EXPORT</w:t>
            </w:r>
            <w:r>
              <w:rPr>
                <w:sz w:val="24"/>
                <w:szCs w:val="24"/>
              </w:rPr>
              <w:t xml:space="preserve"> 285.000 - 6.000 (plus-value actions)</w:t>
            </w:r>
          </w:p>
        </w:tc>
        <w:tc>
          <w:tcPr>
            <w:tcW w:w="1559" w:type="dxa"/>
          </w:tcPr>
          <w:p w:rsidR="0050414C" w:rsidRPr="00A7277F" w:rsidRDefault="0050414C" w:rsidP="00B25D36">
            <w:pPr>
              <w:spacing w:before="60" w:after="60" w:line="300" w:lineRule="auto"/>
              <w:jc w:val="right"/>
              <w:rPr>
                <w:sz w:val="25"/>
                <w:szCs w:val="25"/>
              </w:rPr>
            </w:pPr>
          </w:p>
        </w:tc>
        <w:tc>
          <w:tcPr>
            <w:tcW w:w="1449" w:type="dxa"/>
          </w:tcPr>
          <w:p w:rsidR="0050414C" w:rsidRPr="0050414C" w:rsidRDefault="0050414C" w:rsidP="0050414C">
            <w:pPr>
              <w:spacing w:before="240" w:after="60" w:line="300" w:lineRule="auto"/>
              <w:jc w:val="right"/>
              <w:rPr>
                <w:b/>
                <w:bCs/>
                <w:sz w:val="25"/>
                <w:szCs w:val="25"/>
              </w:rPr>
            </w:pPr>
            <w:r w:rsidRPr="0050414C">
              <w:rPr>
                <w:b/>
                <w:bCs/>
                <w:sz w:val="25"/>
                <w:szCs w:val="25"/>
              </w:rPr>
              <w:t>279.000</w:t>
            </w:r>
          </w:p>
        </w:tc>
      </w:tr>
      <w:tr w:rsidR="00B25D36" w:rsidRPr="00A7277F" w:rsidTr="00B25D36">
        <w:tc>
          <w:tcPr>
            <w:tcW w:w="6204" w:type="dxa"/>
          </w:tcPr>
          <w:p w:rsidR="00B25D36" w:rsidRDefault="00714B2B" w:rsidP="0050414C">
            <w:pPr>
              <w:spacing w:before="60" w:after="60" w:line="300" w:lineRule="auto"/>
              <w:rPr>
                <w:sz w:val="25"/>
                <w:szCs w:val="25"/>
              </w:rPr>
            </w:pPr>
            <w:r w:rsidRPr="00A7277F">
              <w:rPr>
                <w:sz w:val="25"/>
                <w:szCs w:val="25"/>
              </w:rPr>
              <w:t xml:space="preserve">Déduction bénéfice export : 12,5% de </w:t>
            </w:r>
            <w:r w:rsidR="00964905" w:rsidRPr="00A7277F">
              <w:rPr>
                <w:sz w:val="25"/>
                <w:szCs w:val="25"/>
              </w:rPr>
              <w:t>2</w:t>
            </w:r>
            <w:r w:rsidR="0050414C">
              <w:rPr>
                <w:sz w:val="25"/>
                <w:szCs w:val="25"/>
              </w:rPr>
              <w:t>79</w:t>
            </w:r>
            <w:r w:rsidR="00964905" w:rsidRPr="00A7277F">
              <w:rPr>
                <w:sz w:val="25"/>
                <w:szCs w:val="25"/>
              </w:rPr>
              <w:t xml:space="preserve">.000 </w:t>
            </w:r>
          </w:p>
          <w:p w:rsidR="0050414C" w:rsidRPr="00A7277F" w:rsidRDefault="0050414C" w:rsidP="0050414C">
            <w:pPr>
              <w:spacing w:before="60" w:after="60" w:line="300" w:lineRule="auto"/>
              <w:rPr>
                <w:sz w:val="25"/>
                <w:szCs w:val="25"/>
              </w:rPr>
            </w:pPr>
            <w:r>
              <w:rPr>
                <w:sz w:val="25"/>
                <w:szCs w:val="25"/>
              </w:rPr>
              <w:t>Pourcentage export : 2.500 / (25.000 – 5.000) = 12,5%</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964905" w:rsidP="0050414C">
            <w:pPr>
              <w:spacing w:before="60" w:after="60" w:line="300" w:lineRule="auto"/>
              <w:jc w:val="right"/>
              <w:rPr>
                <w:sz w:val="25"/>
                <w:szCs w:val="25"/>
              </w:rPr>
            </w:pPr>
            <w:r w:rsidRPr="00A7277F">
              <w:rPr>
                <w:sz w:val="25"/>
                <w:szCs w:val="25"/>
              </w:rPr>
              <w:t>(</w:t>
            </w:r>
            <w:r w:rsidR="0050414C">
              <w:rPr>
                <w:sz w:val="25"/>
                <w:szCs w:val="25"/>
              </w:rPr>
              <w:t>34.875</w:t>
            </w:r>
            <w:r w:rsidRPr="00A7277F">
              <w:rPr>
                <w:sz w:val="25"/>
                <w:szCs w:val="25"/>
              </w:rPr>
              <w:t>)</w:t>
            </w:r>
          </w:p>
        </w:tc>
      </w:tr>
      <w:tr w:rsidR="00B25D36" w:rsidRPr="00A7277F" w:rsidTr="00B25D36">
        <w:tc>
          <w:tcPr>
            <w:tcW w:w="6204" w:type="dxa"/>
          </w:tcPr>
          <w:p w:rsidR="00B25D36" w:rsidRPr="00A7277F" w:rsidRDefault="00964905" w:rsidP="00B25D36">
            <w:pPr>
              <w:spacing w:before="60" w:after="60" w:line="300" w:lineRule="auto"/>
              <w:rPr>
                <w:sz w:val="25"/>
                <w:szCs w:val="25"/>
              </w:rPr>
            </w:pPr>
            <w:r w:rsidRPr="00A7277F">
              <w:rPr>
                <w:sz w:val="25"/>
                <w:szCs w:val="25"/>
              </w:rPr>
              <w:t>Bénéfice fiscal imposable avant dégrèvement</w:t>
            </w:r>
            <w:r w:rsidR="0050414C">
              <w:rPr>
                <w:sz w:val="25"/>
                <w:szCs w:val="25"/>
              </w:rPr>
              <w:t xml:space="preserve"> (100% avec minimum d’impôt)</w:t>
            </w:r>
          </w:p>
        </w:tc>
        <w:tc>
          <w:tcPr>
            <w:tcW w:w="1559" w:type="dxa"/>
          </w:tcPr>
          <w:p w:rsidR="00B25D36" w:rsidRPr="00A7277F" w:rsidRDefault="00B25D36" w:rsidP="00B25D36">
            <w:pPr>
              <w:spacing w:before="60" w:after="60" w:line="300" w:lineRule="auto"/>
              <w:jc w:val="right"/>
              <w:rPr>
                <w:sz w:val="25"/>
                <w:szCs w:val="25"/>
              </w:rPr>
            </w:pPr>
          </w:p>
        </w:tc>
        <w:tc>
          <w:tcPr>
            <w:tcW w:w="1449" w:type="dxa"/>
          </w:tcPr>
          <w:p w:rsidR="00B25D36" w:rsidRPr="00A7277F" w:rsidRDefault="0050414C" w:rsidP="00964905">
            <w:pPr>
              <w:spacing w:before="60" w:after="60" w:line="300" w:lineRule="auto"/>
              <w:jc w:val="right"/>
              <w:rPr>
                <w:sz w:val="25"/>
                <w:szCs w:val="25"/>
              </w:rPr>
            </w:pPr>
            <w:r>
              <w:rPr>
                <w:sz w:val="25"/>
                <w:szCs w:val="25"/>
              </w:rPr>
              <w:t>250.125</w:t>
            </w:r>
          </w:p>
        </w:tc>
      </w:tr>
      <w:tr w:rsidR="00964905" w:rsidRPr="00A7277F" w:rsidTr="00435466">
        <w:tc>
          <w:tcPr>
            <w:tcW w:w="6204" w:type="dxa"/>
          </w:tcPr>
          <w:p w:rsidR="00964905" w:rsidRPr="00A7277F" w:rsidRDefault="00964905" w:rsidP="00435466">
            <w:pPr>
              <w:spacing w:before="60" w:after="60" w:line="300" w:lineRule="auto"/>
              <w:rPr>
                <w:sz w:val="25"/>
                <w:szCs w:val="25"/>
              </w:rPr>
            </w:pPr>
            <w:r w:rsidRPr="00A7277F">
              <w:rPr>
                <w:sz w:val="25"/>
                <w:szCs w:val="25"/>
              </w:rPr>
              <w:t>Déduction au titre de dégrèvement financier</w:t>
            </w:r>
          </w:p>
        </w:tc>
        <w:tc>
          <w:tcPr>
            <w:tcW w:w="1559" w:type="dxa"/>
          </w:tcPr>
          <w:p w:rsidR="00964905" w:rsidRPr="00A7277F" w:rsidRDefault="00964905" w:rsidP="00435466">
            <w:pPr>
              <w:spacing w:before="60" w:after="60" w:line="300" w:lineRule="auto"/>
              <w:jc w:val="right"/>
              <w:rPr>
                <w:sz w:val="25"/>
                <w:szCs w:val="25"/>
              </w:rPr>
            </w:pPr>
          </w:p>
        </w:tc>
        <w:tc>
          <w:tcPr>
            <w:tcW w:w="1449" w:type="dxa"/>
          </w:tcPr>
          <w:p w:rsidR="00964905" w:rsidRPr="00A7277F" w:rsidRDefault="00964905" w:rsidP="00435466">
            <w:pPr>
              <w:spacing w:before="60" w:after="60" w:line="300" w:lineRule="auto"/>
              <w:jc w:val="right"/>
              <w:rPr>
                <w:sz w:val="25"/>
                <w:szCs w:val="25"/>
              </w:rPr>
            </w:pPr>
            <w:r w:rsidRPr="00A7277F">
              <w:rPr>
                <w:sz w:val="25"/>
                <w:szCs w:val="25"/>
              </w:rPr>
              <w:t>(200.000)</w:t>
            </w:r>
          </w:p>
        </w:tc>
      </w:tr>
      <w:tr w:rsidR="00964905" w:rsidRPr="00A7277F" w:rsidTr="00435466">
        <w:tc>
          <w:tcPr>
            <w:tcW w:w="6204" w:type="dxa"/>
          </w:tcPr>
          <w:p w:rsidR="00964905" w:rsidRPr="00A7277F" w:rsidRDefault="00964905" w:rsidP="00435466">
            <w:pPr>
              <w:spacing w:before="60" w:after="60" w:line="300" w:lineRule="auto"/>
              <w:rPr>
                <w:b/>
                <w:bCs/>
                <w:sz w:val="25"/>
                <w:szCs w:val="25"/>
              </w:rPr>
            </w:pPr>
            <w:r w:rsidRPr="00A7277F">
              <w:rPr>
                <w:b/>
                <w:bCs/>
                <w:sz w:val="25"/>
                <w:szCs w:val="25"/>
              </w:rPr>
              <w:t>Bénéfice imposable</w:t>
            </w:r>
          </w:p>
        </w:tc>
        <w:tc>
          <w:tcPr>
            <w:tcW w:w="1559" w:type="dxa"/>
          </w:tcPr>
          <w:p w:rsidR="00964905" w:rsidRPr="00A7277F" w:rsidRDefault="00964905" w:rsidP="00435466">
            <w:pPr>
              <w:spacing w:before="60" w:after="60" w:line="300" w:lineRule="auto"/>
              <w:jc w:val="right"/>
              <w:rPr>
                <w:b/>
                <w:bCs/>
                <w:sz w:val="25"/>
                <w:szCs w:val="25"/>
              </w:rPr>
            </w:pPr>
          </w:p>
        </w:tc>
        <w:tc>
          <w:tcPr>
            <w:tcW w:w="1449" w:type="dxa"/>
          </w:tcPr>
          <w:p w:rsidR="00964905" w:rsidRPr="00A7277F" w:rsidRDefault="0050414C" w:rsidP="00964905">
            <w:pPr>
              <w:spacing w:before="60" w:after="60" w:line="300" w:lineRule="auto"/>
              <w:jc w:val="right"/>
              <w:rPr>
                <w:b/>
                <w:bCs/>
                <w:sz w:val="25"/>
                <w:szCs w:val="25"/>
              </w:rPr>
            </w:pPr>
            <w:r>
              <w:rPr>
                <w:b/>
                <w:bCs/>
                <w:sz w:val="25"/>
                <w:szCs w:val="25"/>
              </w:rPr>
              <w:t>50.125</w:t>
            </w:r>
          </w:p>
        </w:tc>
      </w:tr>
      <w:tr w:rsidR="00964905" w:rsidRPr="00A7277F" w:rsidTr="00435466">
        <w:tc>
          <w:tcPr>
            <w:tcW w:w="6204" w:type="dxa"/>
          </w:tcPr>
          <w:p w:rsidR="00964905" w:rsidRPr="00A7277F" w:rsidRDefault="00964905" w:rsidP="00435466">
            <w:pPr>
              <w:spacing w:before="60" w:after="60" w:line="300" w:lineRule="auto"/>
              <w:rPr>
                <w:sz w:val="25"/>
                <w:szCs w:val="25"/>
              </w:rPr>
            </w:pPr>
            <w:r w:rsidRPr="00A7277F">
              <w:rPr>
                <w:sz w:val="25"/>
                <w:szCs w:val="25"/>
              </w:rPr>
              <w:t xml:space="preserve">I.S : 30% </w:t>
            </w:r>
          </w:p>
        </w:tc>
        <w:tc>
          <w:tcPr>
            <w:tcW w:w="1559" w:type="dxa"/>
          </w:tcPr>
          <w:p w:rsidR="00964905" w:rsidRPr="00A7277F" w:rsidRDefault="00964905" w:rsidP="00435466">
            <w:pPr>
              <w:spacing w:before="60" w:after="60" w:line="300" w:lineRule="auto"/>
              <w:jc w:val="right"/>
              <w:rPr>
                <w:sz w:val="25"/>
                <w:szCs w:val="25"/>
              </w:rPr>
            </w:pPr>
          </w:p>
        </w:tc>
        <w:tc>
          <w:tcPr>
            <w:tcW w:w="1449" w:type="dxa"/>
          </w:tcPr>
          <w:p w:rsidR="00964905" w:rsidRPr="0050414C" w:rsidRDefault="0050414C" w:rsidP="00435466">
            <w:pPr>
              <w:spacing w:before="60" w:after="60" w:line="300" w:lineRule="auto"/>
              <w:jc w:val="right"/>
              <w:rPr>
                <w:b/>
                <w:bCs/>
                <w:sz w:val="25"/>
                <w:szCs w:val="25"/>
              </w:rPr>
            </w:pPr>
            <w:r w:rsidRPr="0050414C">
              <w:rPr>
                <w:b/>
                <w:bCs/>
                <w:sz w:val="25"/>
                <w:szCs w:val="25"/>
              </w:rPr>
              <w:t>15.037,500</w:t>
            </w:r>
          </w:p>
        </w:tc>
      </w:tr>
      <w:tr w:rsidR="00964905" w:rsidRPr="00A7277F" w:rsidTr="00435466">
        <w:tc>
          <w:tcPr>
            <w:tcW w:w="6204" w:type="dxa"/>
          </w:tcPr>
          <w:p w:rsidR="00964905" w:rsidRPr="00A7277F" w:rsidRDefault="00964905" w:rsidP="0050414C">
            <w:pPr>
              <w:spacing w:before="60" w:after="60" w:line="300" w:lineRule="auto"/>
              <w:rPr>
                <w:sz w:val="25"/>
                <w:szCs w:val="25"/>
              </w:rPr>
            </w:pPr>
            <w:r w:rsidRPr="00A7277F">
              <w:rPr>
                <w:sz w:val="25"/>
                <w:szCs w:val="25"/>
              </w:rPr>
              <w:t xml:space="preserve">Minimum d’impôt : </w:t>
            </w:r>
            <w:r w:rsidR="0050414C">
              <w:rPr>
                <w:sz w:val="25"/>
                <w:szCs w:val="25"/>
              </w:rPr>
              <w:t>250.125</w:t>
            </w:r>
            <w:r w:rsidRPr="00A7277F">
              <w:rPr>
                <w:sz w:val="25"/>
                <w:szCs w:val="25"/>
              </w:rPr>
              <w:t xml:space="preserve"> x 20%</w:t>
            </w:r>
          </w:p>
        </w:tc>
        <w:tc>
          <w:tcPr>
            <w:tcW w:w="1559" w:type="dxa"/>
          </w:tcPr>
          <w:p w:rsidR="00964905" w:rsidRPr="00A7277F" w:rsidRDefault="00964905" w:rsidP="00435466">
            <w:pPr>
              <w:spacing w:before="60" w:after="60" w:line="300" w:lineRule="auto"/>
              <w:jc w:val="right"/>
              <w:rPr>
                <w:sz w:val="25"/>
                <w:szCs w:val="25"/>
              </w:rPr>
            </w:pPr>
          </w:p>
        </w:tc>
        <w:tc>
          <w:tcPr>
            <w:tcW w:w="1449" w:type="dxa"/>
          </w:tcPr>
          <w:p w:rsidR="00964905" w:rsidRPr="00A7277F" w:rsidRDefault="0050414C" w:rsidP="00435466">
            <w:pPr>
              <w:spacing w:before="60" w:after="60" w:line="300" w:lineRule="auto"/>
              <w:jc w:val="right"/>
              <w:rPr>
                <w:sz w:val="25"/>
                <w:szCs w:val="25"/>
              </w:rPr>
            </w:pPr>
            <w:r>
              <w:rPr>
                <w:sz w:val="25"/>
                <w:szCs w:val="25"/>
              </w:rPr>
              <w:t>50.025</w:t>
            </w:r>
          </w:p>
        </w:tc>
      </w:tr>
      <w:tr w:rsidR="00964905" w:rsidRPr="00A7277F" w:rsidTr="00964905">
        <w:tc>
          <w:tcPr>
            <w:tcW w:w="6204" w:type="dxa"/>
          </w:tcPr>
          <w:p w:rsidR="00964905" w:rsidRPr="00A7277F" w:rsidRDefault="00964905" w:rsidP="00435466">
            <w:pPr>
              <w:spacing w:before="60" w:after="60" w:line="300" w:lineRule="auto"/>
              <w:rPr>
                <w:b/>
                <w:bCs/>
                <w:sz w:val="25"/>
                <w:szCs w:val="25"/>
              </w:rPr>
            </w:pPr>
            <w:r w:rsidRPr="00A7277F">
              <w:rPr>
                <w:b/>
                <w:bCs/>
                <w:sz w:val="25"/>
                <w:szCs w:val="25"/>
              </w:rPr>
              <w:t>IS du</w:t>
            </w:r>
            <w:r w:rsidR="0050414C">
              <w:rPr>
                <w:b/>
                <w:bCs/>
                <w:sz w:val="25"/>
                <w:szCs w:val="25"/>
              </w:rPr>
              <w:t xml:space="preserve"> [IS RETENU]</w:t>
            </w:r>
          </w:p>
        </w:tc>
        <w:tc>
          <w:tcPr>
            <w:tcW w:w="1559" w:type="dxa"/>
          </w:tcPr>
          <w:p w:rsidR="00964905" w:rsidRPr="00A7277F" w:rsidRDefault="00964905" w:rsidP="00435466">
            <w:pPr>
              <w:spacing w:before="60" w:after="60" w:line="300" w:lineRule="auto"/>
              <w:jc w:val="right"/>
              <w:rPr>
                <w:b/>
                <w:bCs/>
                <w:sz w:val="25"/>
                <w:szCs w:val="25"/>
              </w:rPr>
            </w:pPr>
          </w:p>
        </w:tc>
        <w:tc>
          <w:tcPr>
            <w:tcW w:w="1449" w:type="dxa"/>
          </w:tcPr>
          <w:p w:rsidR="00964905" w:rsidRPr="00A7277F" w:rsidRDefault="0050414C" w:rsidP="00435466">
            <w:pPr>
              <w:spacing w:before="60" w:after="60" w:line="300" w:lineRule="auto"/>
              <w:jc w:val="right"/>
              <w:rPr>
                <w:b/>
                <w:bCs/>
                <w:sz w:val="25"/>
                <w:szCs w:val="25"/>
              </w:rPr>
            </w:pPr>
            <w:r>
              <w:rPr>
                <w:b/>
                <w:bCs/>
                <w:sz w:val="25"/>
                <w:szCs w:val="25"/>
              </w:rPr>
              <w:t>50.025</w:t>
            </w:r>
          </w:p>
        </w:tc>
      </w:tr>
    </w:tbl>
    <w:p w:rsidR="00EA654F" w:rsidRDefault="00994757" w:rsidP="00994757">
      <w:pPr>
        <w:pStyle w:val="Paragraphedeliste"/>
        <w:numPr>
          <w:ilvl w:val="0"/>
          <w:numId w:val="6"/>
        </w:numPr>
      </w:pPr>
      <w:r>
        <w:t>Accepter une compensation entre ces deux montants</w:t>
      </w:r>
      <w:r w:rsidR="0050414C">
        <w:t xml:space="preserve">, </w:t>
      </w:r>
      <w:r>
        <w:t xml:space="preserve"> donnant lieu à une déduction de 800.000 DT.</w:t>
      </w:r>
    </w:p>
    <w:p w:rsidR="00964905" w:rsidRPr="00B83EB3" w:rsidRDefault="00E12DA5" w:rsidP="00964905">
      <w:pPr>
        <w:spacing w:before="120" w:after="120" w:line="288" w:lineRule="auto"/>
        <w:jc w:val="both"/>
        <w:rPr>
          <w:b/>
          <w:bCs/>
          <w:sz w:val="25"/>
          <w:szCs w:val="25"/>
        </w:rPr>
      </w:pPr>
      <w:r>
        <w:rPr>
          <w:b/>
          <w:bCs/>
          <w:noProof/>
          <w:sz w:val="25"/>
          <w:szCs w:val="25"/>
          <w:lang w:eastAsia="fr-FR"/>
        </w:rPr>
        <w:pict>
          <v:oval id="_x0000_s1036" style="position:absolute;left:0;text-align:left;margin-left:71.65pt;margin-top:17.5pt;width:28.5pt;height:22.5pt;z-index:251667456" filled="f" fillcolor="white [3201]" strokecolor="black [3200]" strokeweight="2.5pt">
            <v:shadow color="#868686"/>
          </v:oval>
        </w:pict>
      </w:r>
      <w:r w:rsidR="00964905" w:rsidRPr="00B83EB3">
        <w:rPr>
          <w:b/>
          <w:bCs/>
          <w:sz w:val="25"/>
          <w:szCs w:val="25"/>
        </w:rPr>
        <w:t>2 – Régime fiscal en matière de droit d’enregistrement du terrain acquis auprès de la société « B »</w:t>
      </w:r>
      <w:r w:rsidR="00E40336">
        <w:rPr>
          <w:b/>
          <w:bCs/>
          <w:sz w:val="25"/>
          <w:szCs w:val="25"/>
        </w:rPr>
        <w:t xml:space="preserve">   </w:t>
      </w:r>
      <w:r w:rsidR="00E40336" w:rsidRPr="00E40336">
        <w:rPr>
          <w:b/>
          <w:bCs/>
          <w:sz w:val="32"/>
          <w:szCs w:val="32"/>
        </w:rPr>
        <w:t>0,5</w:t>
      </w:r>
    </w:p>
    <w:p w:rsidR="00964905" w:rsidRPr="00B83EB3" w:rsidRDefault="00104C44" w:rsidP="00964905">
      <w:pPr>
        <w:spacing w:before="120" w:after="120" w:line="288" w:lineRule="auto"/>
        <w:jc w:val="both"/>
        <w:rPr>
          <w:sz w:val="25"/>
          <w:szCs w:val="25"/>
        </w:rPr>
      </w:pPr>
      <w:r w:rsidRPr="00B83EB3">
        <w:rPr>
          <w:sz w:val="25"/>
          <w:szCs w:val="25"/>
        </w:rPr>
        <w:t>L’acte d’acquisition</w:t>
      </w:r>
      <w:r w:rsidR="00EA654F" w:rsidRPr="00B83EB3">
        <w:rPr>
          <w:sz w:val="25"/>
          <w:szCs w:val="25"/>
        </w:rPr>
        <w:t xml:space="preserve"> est soumis aux formalités d’enregistrement dans un délai de 60 jours, les droits y afférents sont :</w:t>
      </w:r>
    </w:p>
    <w:p w:rsidR="00EA654F" w:rsidRPr="00B83EB3" w:rsidRDefault="00EA654F" w:rsidP="00EA654F">
      <w:pPr>
        <w:pStyle w:val="Paragraphedeliste"/>
        <w:numPr>
          <w:ilvl w:val="0"/>
          <w:numId w:val="2"/>
        </w:numPr>
        <w:spacing w:before="120" w:after="120" w:line="288" w:lineRule="auto"/>
        <w:jc w:val="both"/>
        <w:rPr>
          <w:sz w:val="25"/>
          <w:szCs w:val="25"/>
        </w:rPr>
      </w:pPr>
      <w:r w:rsidRPr="00B83EB3">
        <w:rPr>
          <w:sz w:val="25"/>
          <w:szCs w:val="25"/>
        </w:rPr>
        <w:t>Droit de mutation : 5%</w:t>
      </w:r>
    </w:p>
    <w:p w:rsidR="00EA654F" w:rsidRPr="00B83EB3" w:rsidRDefault="00EA654F" w:rsidP="00EA654F">
      <w:pPr>
        <w:pStyle w:val="Paragraphedeliste"/>
        <w:numPr>
          <w:ilvl w:val="0"/>
          <w:numId w:val="2"/>
        </w:numPr>
        <w:spacing w:before="120" w:after="120" w:line="288" w:lineRule="auto"/>
        <w:jc w:val="both"/>
        <w:rPr>
          <w:sz w:val="25"/>
          <w:szCs w:val="25"/>
        </w:rPr>
      </w:pPr>
      <w:r w:rsidRPr="00B83EB3">
        <w:rPr>
          <w:sz w:val="25"/>
          <w:szCs w:val="25"/>
        </w:rPr>
        <w:t>Droit au profit de la Conservation de la Propriété Foncière</w:t>
      </w:r>
    </w:p>
    <w:p w:rsidR="00EA654F" w:rsidRPr="00B83EB3" w:rsidRDefault="00EA654F" w:rsidP="00EA654F">
      <w:pPr>
        <w:pStyle w:val="Paragraphedeliste"/>
        <w:spacing w:before="120" w:after="120" w:line="288" w:lineRule="auto"/>
        <w:ind w:left="1080"/>
        <w:jc w:val="both"/>
        <w:rPr>
          <w:sz w:val="25"/>
          <w:szCs w:val="25"/>
        </w:rPr>
      </w:pPr>
      <w:r w:rsidRPr="00B83EB3">
        <w:rPr>
          <w:sz w:val="25"/>
          <w:szCs w:val="25"/>
        </w:rPr>
        <w:sym w:font="Wingdings 2" w:char="F0AE"/>
      </w:r>
      <w:r w:rsidRPr="00B83EB3">
        <w:rPr>
          <w:sz w:val="25"/>
          <w:szCs w:val="25"/>
        </w:rPr>
        <w:t xml:space="preserve"> Terrain immatriculé : 1% CPF</w:t>
      </w:r>
    </w:p>
    <w:p w:rsidR="00EA654F" w:rsidRPr="00B83EB3" w:rsidRDefault="00EA654F" w:rsidP="00EA654F">
      <w:pPr>
        <w:pStyle w:val="Paragraphedeliste"/>
        <w:spacing w:before="120" w:after="120" w:line="288" w:lineRule="auto"/>
        <w:ind w:left="1080"/>
        <w:jc w:val="both"/>
        <w:rPr>
          <w:sz w:val="25"/>
          <w:szCs w:val="25"/>
        </w:rPr>
      </w:pPr>
      <w:r w:rsidRPr="00B83EB3">
        <w:rPr>
          <w:sz w:val="25"/>
          <w:szCs w:val="25"/>
        </w:rPr>
        <w:lastRenderedPageBreak/>
        <w:sym w:font="Wingdings 2" w:char="F0AE"/>
      </w:r>
      <w:r w:rsidRPr="00B83EB3">
        <w:rPr>
          <w:sz w:val="25"/>
          <w:szCs w:val="25"/>
        </w:rPr>
        <w:t xml:space="preserve"> Terrain non immatriculé : 1% : droit de mutation et partage de biens non immobiliers</w:t>
      </w:r>
    </w:p>
    <w:p w:rsidR="00EA654F" w:rsidRPr="00B83EB3" w:rsidRDefault="00EA654F" w:rsidP="00EA654F">
      <w:pPr>
        <w:spacing w:before="120" w:after="120" w:line="288" w:lineRule="auto"/>
        <w:jc w:val="both"/>
        <w:rPr>
          <w:sz w:val="25"/>
          <w:szCs w:val="25"/>
        </w:rPr>
      </w:pPr>
      <w:r w:rsidRPr="00B83EB3">
        <w:rPr>
          <w:sz w:val="25"/>
          <w:szCs w:val="25"/>
        </w:rPr>
        <w:sym w:font="Wingdings 2" w:char="F03F"/>
      </w:r>
      <w:r w:rsidRPr="00B83EB3">
        <w:rPr>
          <w:sz w:val="25"/>
          <w:szCs w:val="25"/>
        </w:rPr>
        <w:t xml:space="preserve"> L’assiette de ces droits correspond à la valeur d’acquisition soit 2</w:t>
      </w:r>
      <w:r w:rsidR="0050414C">
        <w:rPr>
          <w:sz w:val="25"/>
          <w:szCs w:val="25"/>
        </w:rPr>
        <w:t>.0</w:t>
      </w:r>
      <w:r w:rsidRPr="00B83EB3">
        <w:rPr>
          <w:sz w:val="25"/>
          <w:szCs w:val="25"/>
        </w:rPr>
        <w:t>00.000 D</w:t>
      </w:r>
    </w:p>
    <w:p w:rsidR="00964905" w:rsidRPr="00994757" w:rsidRDefault="00EA654F" w:rsidP="00EA654F">
      <w:pPr>
        <w:spacing w:before="120" w:after="120" w:line="288" w:lineRule="auto"/>
        <w:jc w:val="both"/>
        <w:rPr>
          <w:color w:val="632423" w:themeColor="accent2" w:themeShade="80"/>
          <w:sz w:val="25"/>
          <w:szCs w:val="25"/>
        </w:rPr>
      </w:pPr>
      <w:r w:rsidRPr="00994757">
        <w:rPr>
          <w:color w:val="632423" w:themeColor="accent2" w:themeShade="80"/>
          <w:sz w:val="25"/>
          <w:szCs w:val="25"/>
        </w:rPr>
        <w:sym w:font="Wingdings 2" w:char="F03F"/>
      </w:r>
      <w:r w:rsidRPr="00994757">
        <w:rPr>
          <w:color w:val="632423" w:themeColor="accent2" w:themeShade="80"/>
          <w:sz w:val="25"/>
          <w:szCs w:val="25"/>
        </w:rPr>
        <w:t xml:space="preserve"> Les droits pour défaut d’origi</w:t>
      </w:r>
      <w:r w:rsidR="0050414C">
        <w:rPr>
          <w:color w:val="632423" w:themeColor="accent2" w:themeShade="80"/>
          <w:sz w:val="25"/>
          <w:szCs w:val="25"/>
        </w:rPr>
        <w:t>ne (3%</w:t>
      </w:r>
      <w:r w:rsidRPr="00994757">
        <w:rPr>
          <w:color w:val="632423" w:themeColor="accent2" w:themeShade="80"/>
          <w:sz w:val="25"/>
          <w:szCs w:val="25"/>
        </w:rPr>
        <w:t>) ne sont pas exigibles.</w:t>
      </w:r>
    </w:p>
    <w:p w:rsidR="00E02266" w:rsidRPr="00B83EB3" w:rsidRDefault="00E12DA5" w:rsidP="00E02266">
      <w:pPr>
        <w:spacing w:before="120" w:after="120" w:line="288" w:lineRule="auto"/>
        <w:jc w:val="both"/>
        <w:rPr>
          <w:b/>
          <w:bCs/>
          <w:sz w:val="25"/>
          <w:szCs w:val="25"/>
        </w:rPr>
      </w:pPr>
      <w:r w:rsidRPr="00E12DA5">
        <w:rPr>
          <w:noProof/>
          <w:sz w:val="25"/>
          <w:szCs w:val="25"/>
          <w:lang w:eastAsia="fr-FR"/>
        </w:rPr>
        <w:pict>
          <v:oval id="_x0000_s1037" style="position:absolute;left:0;text-align:left;margin-left:40.15pt;margin-top:14.9pt;width:28.5pt;height:22.5pt;z-index:251668480" filled="f" fillcolor="white [3201]" strokecolor="black [3200]" strokeweight="2.5pt">
            <v:shadow color="#868686"/>
          </v:oval>
        </w:pict>
      </w:r>
      <w:r w:rsidR="00E02266" w:rsidRPr="00B83EB3">
        <w:rPr>
          <w:b/>
          <w:bCs/>
          <w:sz w:val="25"/>
          <w:szCs w:val="25"/>
        </w:rPr>
        <w:t>3 – Régime fiscal de la plus-value réalisée par la société « B » au titre de la cession du terrain.</w:t>
      </w:r>
      <w:r w:rsidR="00E40336">
        <w:rPr>
          <w:b/>
          <w:bCs/>
          <w:sz w:val="25"/>
          <w:szCs w:val="25"/>
        </w:rPr>
        <w:t xml:space="preserve">  0,5</w:t>
      </w:r>
    </w:p>
    <w:p w:rsidR="00E02266" w:rsidRDefault="00B83EB3" w:rsidP="00E02266">
      <w:pPr>
        <w:spacing w:before="120" w:after="120" w:line="288" w:lineRule="auto"/>
        <w:jc w:val="both"/>
        <w:rPr>
          <w:sz w:val="25"/>
          <w:szCs w:val="25"/>
        </w:rPr>
      </w:pPr>
      <w:r w:rsidRPr="00B83EB3">
        <w:rPr>
          <w:sz w:val="25"/>
          <w:szCs w:val="25"/>
        </w:rPr>
        <w:t>Le § II de l’article 45 du code de l’IRPP et de l’IS, soumet à l’IS, les plus-values provenant de la cession d’immeubles sis en Tunisie ou des droits y relatifs. Ainsi la plus-value réalisée par la société « B » au titre de la cession du terrain est soumise à l’IS.</w:t>
      </w:r>
    </w:p>
    <w:p w:rsidR="00EF30CD" w:rsidRPr="00EF30CD" w:rsidRDefault="00EF30CD" w:rsidP="00EF30CD">
      <w:pPr>
        <w:spacing w:before="120" w:after="120" w:line="288" w:lineRule="auto"/>
        <w:jc w:val="both"/>
        <w:rPr>
          <w:sz w:val="25"/>
          <w:szCs w:val="25"/>
        </w:rPr>
      </w:pPr>
      <w:r>
        <w:rPr>
          <w:sz w:val="25"/>
          <w:szCs w:val="25"/>
        </w:rPr>
        <w:t>En application des dispositions de l’article 52 du code de l’IRPP et de l’IS (modifié par la loi n° 2002-101 du 17 décembre 2002</w:t>
      </w:r>
      <w:r w:rsidR="00B51F73">
        <w:rPr>
          <w:sz w:val="25"/>
          <w:szCs w:val="25"/>
        </w:rPr>
        <w:t xml:space="preserve"> portant loi de finances pour l’année 2003</w:t>
      </w:r>
      <w:r>
        <w:rPr>
          <w:sz w:val="25"/>
          <w:szCs w:val="25"/>
        </w:rPr>
        <w:t xml:space="preserve">) l’imposition de cette plus-value est faite par voie de </w:t>
      </w:r>
      <w:r w:rsidRPr="00EF30CD">
        <w:rPr>
          <w:sz w:val="25"/>
          <w:szCs w:val="25"/>
        </w:rPr>
        <w:t>retenue à la source au taux de 15% du prix de cession déclaré dans l'acte</w:t>
      </w:r>
      <w:r>
        <w:rPr>
          <w:sz w:val="25"/>
          <w:szCs w:val="25"/>
        </w:rPr>
        <w:t xml:space="preserve">. Cette retenue est libératoire. </w:t>
      </w:r>
    </w:p>
    <w:p w:rsidR="00EF30CD" w:rsidRDefault="00EF30CD" w:rsidP="00B51F73">
      <w:pPr>
        <w:autoSpaceDE w:val="0"/>
        <w:autoSpaceDN w:val="0"/>
        <w:adjustRightInd w:val="0"/>
        <w:spacing w:after="0" w:line="300" w:lineRule="auto"/>
        <w:jc w:val="both"/>
        <w:rPr>
          <w:sz w:val="25"/>
          <w:szCs w:val="25"/>
        </w:rPr>
      </w:pPr>
      <w:r>
        <w:rPr>
          <w:sz w:val="25"/>
          <w:szCs w:val="25"/>
        </w:rPr>
        <w:t xml:space="preserve">Les articles 46 et suivants de la loi </w:t>
      </w:r>
      <w:r w:rsidR="00B51F73">
        <w:rPr>
          <w:sz w:val="25"/>
          <w:szCs w:val="25"/>
        </w:rPr>
        <w:t>de finances 2003</w:t>
      </w:r>
      <w:r>
        <w:rPr>
          <w:sz w:val="25"/>
          <w:szCs w:val="25"/>
        </w:rPr>
        <w:t xml:space="preserve"> ont </w:t>
      </w:r>
      <w:r w:rsidRPr="00EF30CD">
        <w:rPr>
          <w:sz w:val="25"/>
          <w:szCs w:val="25"/>
        </w:rPr>
        <w:t xml:space="preserve"> simplifié l'imposition de la plus-value immobilière réalisée par les personnes morales non résidentes et non établies en Tunisie en la soumettant à l'impôt sur les sociétés au taux de 3</w:t>
      </w:r>
      <w:r>
        <w:rPr>
          <w:sz w:val="25"/>
          <w:szCs w:val="25"/>
        </w:rPr>
        <w:t>0</w:t>
      </w:r>
      <w:r w:rsidRPr="00EF30CD">
        <w:rPr>
          <w:sz w:val="25"/>
          <w:szCs w:val="25"/>
        </w:rPr>
        <w:t xml:space="preserve">% de sa valeur ou au taux de 15% du prix de cession déclaré dans l'acte et ce, au choix de la société cédante. </w:t>
      </w:r>
    </w:p>
    <w:p w:rsidR="00EF30CD" w:rsidRDefault="00EF30CD" w:rsidP="00EF30CD">
      <w:pPr>
        <w:autoSpaceDE w:val="0"/>
        <w:autoSpaceDN w:val="0"/>
        <w:adjustRightInd w:val="0"/>
        <w:spacing w:after="0" w:line="300" w:lineRule="auto"/>
        <w:jc w:val="both"/>
        <w:rPr>
          <w:sz w:val="25"/>
          <w:szCs w:val="25"/>
        </w:rPr>
      </w:pPr>
    </w:p>
    <w:p w:rsidR="00EF30CD" w:rsidRDefault="00EF30CD" w:rsidP="00B51F73">
      <w:pPr>
        <w:autoSpaceDE w:val="0"/>
        <w:autoSpaceDN w:val="0"/>
        <w:adjustRightInd w:val="0"/>
        <w:spacing w:after="0" w:line="300" w:lineRule="auto"/>
        <w:jc w:val="both"/>
        <w:rPr>
          <w:sz w:val="25"/>
          <w:szCs w:val="25"/>
        </w:rPr>
      </w:pPr>
      <w:r>
        <w:rPr>
          <w:sz w:val="25"/>
          <w:szCs w:val="25"/>
        </w:rPr>
        <w:t xml:space="preserve">Pour le cas d’espèces, la société « B » </w:t>
      </w:r>
      <w:r w:rsidR="00B51F73">
        <w:rPr>
          <w:sz w:val="25"/>
          <w:szCs w:val="25"/>
        </w:rPr>
        <w:t xml:space="preserve">subira une retenue à la source libératoire de l’IS, </w:t>
      </w:r>
      <w:r>
        <w:rPr>
          <w:sz w:val="25"/>
          <w:szCs w:val="25"/>
        </w:rPr>
        <w:t>s’élevant à 2.000.000 x 15% = 300.000.</w:t>
      </w:r>
    </w:p>
    <w:p w:rsidR="00555001" w:rsidRDefault="00B51F73" w:rsidP="00B51F73">
      <w:pPr>
        <w:autoSpaceDE w:val="0"/>
        <w:autoSpaceDN w:val="0"/>
        <w:adjustRightInd w:val="0"/>
        <w:spacing w:after="0" w:line="300" w:lineRule="auto"/>
        <w:jc w:val="both"/>
        <w:rPr>
          <w:sz w:val="25"/>
          <w:szCs w:val="25"/>
        </w:rPr>
      </w:pPr>
      <w:r>
        <w:rPr>
          <w:sz w:val="25"/>
          <w:szCs w:val="25"/>
        </w:rPr>
        <w:t>Elle pourrait opter pour l’imposition « au réel » de la plus-value au taux de l’IS en vigueur soit :</w:t>
      </w:r>
      <w:r w:rsidR="00555001">
        <w:rPr>
          <w:sz w:val="25"/>
          <w:szCs w:val="25"/>
        </w:rPr>
        <w:t xml:space="preserve"> 1.200.000 x 30% = 360.000</w:t>
      </w:r>
    </w:p>
    <w:p w:rsidR="00555001" w:rsidRDefault="00555001" w:rsidP="00555001">
      <w:pPr>
        <w:autoSpaceDE w:val="0"/>
        <w:autoSpaceDN w:val="0"/>
        <w:adjustRightInd w:val="0"/>
        <w:spacing w:after="0" w:line="300" w:lineRule="auto"/>
        <w:jc w:val="both"/>
        <w:rPr>
          <w:sz w:val="25"/>
          <w:szCs w:val="25"/>
        </w:rPr>
      </w:pPr>
      <w:r>
        <w:rPr>
          <w:sz w:val="25"/>
          <w:szCs w:val="25"/>
        </w:rPr>
        <w:t>En toute logique, la société « B » optera pour la retenue à la source libératoire</w:t>
      </w:r>
      <w:r w:rsidR="00994757">
        <w:rPr>
          <w:sz w:val="25"/>
          <w:szCs w:val="25"/>
        </w:rPr>
        <w:t xml:space="preserve"> ou l’imposition à 15% du prix de cession</w:t>
      </w:r>
      <w:r>
        <w:rPr>
          <w:sz w:val="25"/>
          <w:szCs w:val="25"/>
        </w:rPr>
        <w:t>.</w:t>
      </w:r>
    </w:p>
    <w:p w:rsidR="00FB7469" w:rsidRDefault="00FB7469"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E40336" w:rsidRDefault="00E40336" w:rsidP="00555001">
      <w:pPr>
        <w:autoSpaceDE w:val="0"/>
        <w:autoSpaceDN w:val="0"/>
        <w:adjustRightInd w:val="0"/>
        <w:spacing w:after="0" w:line="300" w:lineRule="auto"/>
        <w:jc w:val="both"/>
        <w:rPr>
          <w:sz w:val="25"/>
          <w:szCs w:val="25"/>
        </w:rPr>
      </w:pPr>
    </w:p>
    <w:p w:rsidR="00FB7469" w:rsidRDefault="00FB7469" w:rsidP="00FB7469">
      <w:pPr>
        <w:spacing w:before="120" w:after="120" w:line="288" w:lineRule="auto"/>
        <w:jc w:val="both"/>
        <w:rPr>
          <w:b/>
          <w:bCs/>
          <w:sz w:val="25"/>
          <w:szCs w:val="25"/>
        </w:rPr>
      </w:pPr>
      <w:r w:rsidRPr="00B83EB3">
        <w:rPr>
          <w:b/>
          <w:bCs/>
          <w:sz w:val="25"/>
          <w:szCs w:val="25"/>
        </w:rPr>
        <w:lastRenderedPageBreak/>
        <w:t xml:space="preserve">3 – </w:t>
      </w:r>
      <w:r>
        <w:rPr>
          <w:b/>
          <w:bCs/>
          <w:sz w:val="25"/>
          <w:szCs w:val="25"/>
        </w:rPr>
        <w:t>I.R dû par Monsieur Ben Ammar et autre redevance exigible par lui :</w:t>
      </w:r>
    </w:p>
    <w:p w:rsidR="00994757" w:rsidRDefault="00FB7469" w:rsidP="00994757">
      <w:pPr>
        <w:spacing w:before="120" w:after="120" w:line="288" w:lineRule="auto"/>
        <w:jc w:val="both"/>
        <w:rPr>
          <w:sz w:val="25"/>
          <w:szCs w:val="25"/>
        </w:rPr>
      </w:pPr>
      <w:r>
        <w:rPr>
          <w:sz w:val="25"/>
          <w:szCs w:val="25"/>
        </w:rPr>
        <w:sym w:font="Wingdings 2" w:char="F0AE"/>
      </w:r>
      <w:r>
        <w:rPr>
          <w:sz w:val="25"/>
          <w:szCs w:val="25"/>
        </w:rPr>
        <w:t xml:space="preserve"> </w:t>
      </w:r>
      <w:r w:rsidRPr="00FB7469">
        <w:rPr>
          <w:sz w:val="25"/>
          <w:szCs w:val="25"/>
        </w:rPr>
        <w:t>Revenu Net global</w:t>
      </w:r>
      <w:r>
        <w:rPr>
          <w:sz w:val="25"/>
          <w:szCs w:val="25"/>
        </w:rPr>
        <w:tab/>
      </w:r>
      <w:r>
        <w:rPr>
          <w:sz w:val="25"/>
          <w:szCs w:val="25"/>
        </w:rPr>
        <w:tab/>
      </w:r>
      <w:r>
        <w:rPr>
          <w:sz w:val="25"/>
          <w:szCs w:val="25"/>
        </w:rPr>
        <w:tab/>
      </w:r>
      <w:r>
        <w:rPr>
          <w:sz w:val="25"/>
          <w:szCs w:val="25"/>
        </w:rPr>
        <w:tab/>
      </w:r>
      <w:r>
        <w:rPr>
          <w:sz w:val="25"/>
          <w:szCs w:val="25"/>
        </w:rPr>
        <w:tab/>
        <w:t>1</w:t>
      </w:r>
      <w:r w:rsidR="00994757">
        <w:rPr>
          <w:sz w:val="25"/>
          <w:szCs w:val="25"/>
        </w:rPr>
        <w:t>2</w:t>
      </w:r>
      <w:r>
        <w:rPr>
          <w:sz w:val="25"/>
          <w:szCs w:val="25"/>
        </w:rPr>
        <w:t>0.000 DT</w:t>
      </w:r>
    </w:p>
    <w:p w:rsidR="00FB7469" w:rsidRDefault="00994757" w:rsidP="00994757">
      <w:pPr>
        <w:spacing w:before="120" w:after="120" w:line="288" w:lineRule="auto"/>
        <w:jc w:val="both"/>
        <w:rPr>
          <w:sz w:val="25"/>
          <w:szCs w:val="25"/>
        </w:rPr>
      </w:pPr>
      <w:r>
        <w:rPr>
          <w:sz w:val="25"/>
          <w:szCs w:val="25"/>
        </w:rPr>
        <w:t xml:space="preserve"> </w:t>
      </w:r>
      <w:r w:rsidR="00FB7469">
        <w:rPr>
          <w:sz w:val="25"/>
          <w:szCs w:val="25"/>
        </w:rPr>
        <w:t>- Déduction pour frais professionnels</w:t>
      </w:r>
      <w:r w:rsidR="00FB7469">
        <w:rPr>
          <w:sz w:val="25"/>
          <w:szCs w:val="25"/>
        </w:rPr>
        <w:tab/>
        <w:t xml:space="preserve"> </w:t>
      </w:r>
      <w:r>
        <w:rPr>
          <w:sz w:val="25"/>
          <w:szCs w:val="25"/>
        </w:rPr>
        <w:tab/>
      </w:r>
      <w:r w:rsidR="00FB7469">
        <w:rPr>
          <w:sz w:val="25"/>
          <w:szCs w:val="25"/>
        </w:rPr>
        <w:t xml:space="preserve">   </w:t>
      </w:r>
      <w:r>
        <w:rPr>
          <w:sz w:val="25"/>
          <w:szCs w:val="25"/>
        </w:rPr>
        <w:t>12.000</w:t>
      </w:r>
      <w:r w:rsidR="00FB7469">
        <w:rPr>
          <w:sz w:val="25"/>
          <w:szCs w:val="25"/>
        </w:rPr>
        <w:t xml:space="preserve"> DT</w:t>
      </w:r>
    </w:p>
    <w:p w:rsidR="00FB7469" w:rsidRDefault="00FB7469" w:rsidP="00FB7469">
      <w:pPr>
        <w:spacing w:before="120" w:after="120" w:line="288" w:lineRule="auto"/>
        <w:jc w:val="both"/>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_________</w:t>
      </w:r>
    </w:p>
    <w:p w:rsidR="00FB7469" w:rsidRDefault="00FB7469" w:rsidP="00994757">
      <w:pPr>
        <w:spacing w:before="120" w:after="120" w:line="288" w:lineRule="auto"/>
        <w:jc w:val="both"/>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00994757">
        <w:rPr>
          <w:sz w:val="25"/>
          <w:szCs w:val="25"/>
        </w:rPr>
        <w:t>108.000</w:t>
      </w:r>
      <w:r>
        <w:rPr>
          <w:sz w:val="25"/>
          <w:szCs w:val="25"/>
        </w:rPr>
        <w:t xml:space="preserve"> DT</w:t>
      </w:r>
    </w:p>
    <w:p w:rsidR="00FB7469" w:rsidRDefault="00FB7469" w:rsidP="005D3157">
      <w:pPr>
        <w:spacing w:before="120" w:after="120" w:line="288" w:lineRule="auto"/>
        <w:jc w:val="both"/>
        <w:rPr>
          <w:sz w:val="25"/>
          <w:szCs w:val="25"/>
        </w:rPr>
      </w:pPr>
      <w:r>
        <w:rPr>
          <w:sz w:val="25"/>
          <w:szCs w:val="25"/>
        </w:rPr>
        <w:sym w:font="Wingdings 2" w:char="F0AE"/>
      </w:r>
      <w:r>
        <w:rPr>
          <w:sz w:val="25"/>
          <w:szCs w:val="25"/>
        </w:rPr>
        <w:t xml:space="preserve"> Déductions</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F94D05">
        <w:rPr>
          <w:sz w:val="25"/>
          <w:szCs w:val="25"/>
        </w:rPr>
        <w:t xml:space="preserve"> </w:t>
      </w:r>
      <w:r w:rsidR="005D3157">
        <w:rPr>
          <w:sz w:val="25"/>
          <w:szCs w:val="25"/>
        </w:rPr>
        <w:t xml:space="preserve">  </w:t>
      </w:r>
      <w:r w:rsidR="00F94D05">
        <w:rPr>
          <w:sz w:val="25"/>
          <w:szCs w:val="25"/>
        </w:rPr>
        <w:t xml:space="preserve">  </w:t>
      </w:r>
      <w:r w:rsidR="005D3157">
        <w:rPr>
          <w:sz w:val="25"/>
          <w:szCs w:val="25"/>
        </w:rPr>
        <w:t>15.150</w:t>
      </w:r>
      <w:r>
        <w:rPr>
          <w:sz w:val="25"/>
          <w:szCs w:val="25"/>
        </w:rPr>
        <w:t xml:space="preserve"> DT</w:t>
      </w:r>
    </w:p>
    <w:p w:rsidR="00FB7469" w:rsidRDefault="00FB7469" w:rsidP="00FB7469">
      <w:pPr>
        <w:pStyle w:val="Paragraphedeliste"/>
        <w:numPr>
          <w:ilvl w:val="0"/>
          <w:numId w:val="2"/>
        </w:numPr>
        <w:spacing w:before="120" w:after="120" w:line="288" w:lineRule="auto"/>
        <w:jc w:val="both"/>
        <w:rPr>
          <w:sz w:val="25"/>
          <w:szCs w:val="25"/>
        </w:rPr>
      </w:pPr>
      <w:r>
        <w:rPr>
          <w:sz w:val="25"/>
          <w:szCs w:val="25"/>
        </w:rPr>
        <w:t xml:space="preserve">Chef de famille </w:t>
      </w:r>
      <w:r>
        <w:rPr>
          <w:sz w:val="25"/>
          <w:szCs w:val="25"/>
        </w:rPr>
        <w:tab/>
      </w:r>
      <w:r>
        <w:rPr>
          <w:sz w:val="25"/>
          <w:szCs w:val="25"/>
        </w:rPr>
        <w:tab/>
      </w:r>
      <w:r w:rsidR="00F94D05">
        <w:rPr>
          <w:sz w:val="25"/>
          <w:szCs w:val="25"/>
        </w:rPr>
        <w:t xml:space="preserve"> </w:t>
      </w:r>
      <w:r w:rsidR="005D3157">
        <w:rPr>
          <w:sz w:val="25"/>
          <w:szCs w:val="25"/>
        </w:rPr>
        <w:t xml:space="preserve">   </w:t>
      </w:r>
      <w:r w:rsidR="00F94D05">
        <w:rPr>
          <w:sz w:val="25"/>
          <w:szCs w:val="25"/>
        </w:rPr>
        <w:t xml:space="preserve"> </w:t>
      </w:r>
      <w:r>
        <w:rPr>
          <w:sz w:val="25"/>
          <w:szCs w:val="25"/>
        </w:rPr>
        <w:t>150 DT</w:t>
      </w:r>
    </w:p>
    <w:p w:rsidR="00FB7469" w:rsidRDefault="00FB7469" w:rsidP="00994757">
      <w:pPr>
        <w:pStyle w:val="Paragraphedeliste"/>
        <w:numPr>
          <w:ilvl w:val="0"/>
          <w:numId w:val="2"/>
        </w:numPr>
        <w:spacing w:before="120" w:after="120" w:line="288" w:lineRule="auto"/>
        <w:jc w:val="both"/>
        <w:rPr>
          <w:sz w:val="25"/>
          <w:szCs w:val="25"/>
        </w:rPr>
      </w:pPr>
      <w:r>
        <w:rPr>
          <w:sz w:val="25"/>
          <w:szCs w:val="25"/>
        </w:rPr>
        <w:t>1</w:t>
      </w:r>
      <w:r w:rsidRPr="00FB7469">
        <w:rPr>
          <w:sz w:val="25"/>
          <w:szCs w:val="25"/>
          <w:vertAlign w:val="superscript"/>
        </w:rPr>
        <w:t>er</w:t>
      </w:r>
      <w:r>
        <w:rPr>
          <w:sz w:val="25"/>
          <w:szCs w:val="25"/>
        </w:rPr>
        <w:t xml:space="preserve"> enfant à charge</w:t>
      </w:r>
      <w:r>
        <w:rPr>
          <w:sz w:val="25"/>
          <w:szCs w:val="25"/>
        </w:rPr>
        <w:tab/>
      </w:r>
      <w:r w:rsidR="00F94D05">
        <w:rPr>
          <w:sz w:val="25"/>
          <w:szCs w:val="25"/>
        </w:rPr>
        <w:t xml:space="preserve"> </w:t>
      </w:r>
      <w:r w:rsidR="00994757">
        <w:rPr>
          <w:sz w:val="25"/>
          <w:szCs w:val="25"/>
        </w:rPr>
        <w:t xml:space="preserve">    </w:t>
      </w:r>
      <w:r w:rsidR="00F94D05">
        <w:rPr>
          <w:sz w:val="25"/>
          <w:szCs w:val="25"/>
        </w:rPr>
        <w:t xml:space="preserve"> </w:t>
      </w:r>
      <w:r w:rsidR="00994757">
        <w:rPr>
          <w:sz w:val="25"/>
          <w:szCs w:val="25"/>
        </w:rPr>
        <w:t>-</w:t>
      </w:r>
    </w:p>
    <w:p w:rsidR="00F94D05" w:rsidRDefault="00F94D05" w:rsidP="00FB7469">
      <w:pPr>
        <w:pStyle w:val="Paragraphedeliste"/>
        <w:numPr>
          <w:ilvl w:val="0"/>
          <w:numId w:val="2"/>
        </w:numPr>
        <w:spacing w:before="120" w:after="120" w:line="288" w:lineRule="auto"/>
        <w:jc w:val="both"/>
        <w:rPr>
          <w:sz w:val="25"/>
          <w:szCs w:val="25"/>
        </w:rPr>
      </w:pPr>
      <w:r>
        <w:rPr>
          <w:sz w:val="25"/>
          <w:szCs w:val="25"/>
        </w:rPr>
        <w:t>2</w:t>
      </w:r>
      <w:r w:rsidRPr="00F94D05">
        <w:rPr>
          <w:sz w:val="25"/>
          <w:szCs w:val="25"/>
          <w:vertAlign w:val="superscript"/>
        </w:rPr>
        <w:t>ème</w:t>
      </w:r>
      <w:r>
        <w:rPr>
          <w:sz w:val="25"/>
          <w:szCs w:val="25"/>
        </w:rPr>
        <w:t xml:space="preserve"> enfant à charge </w:t>
      </w:r>
      <w:r>
        <w:rPr>
          <w:sz w:val="25"/>
          <w:szCs w:val="25"/>
        </w:rPr>
        <w:tab/>
      </w:r>
      <w:r w:rsidR="005D3157">
        <w:rPr>
          <w:sz w:val="25"/>
          <w:szCs w:val="25"/>
        </w:rPr>
        <w:t xml:space="preserve">  </w:t>
      </w:r>
      <w:r>
        <w:rPr>
          <w:sz w:val="25"/>
          <w:szCs w:val="25"/>
        </w:rPr>
        <w:t>1.000 DT</w:t>
      </w:r>
    </w:p>
    <w:p w:rsidR="00F94D05" w:rsidRDefault="00F94D05" w:rsidP="00FB7469">
      <w:pPr>
        <w:pStyle w:val="Paragraphedeliste"/>
        <w:numPr>
          <w:ilvl w:val="0"/>
          <w:numId w:val="2"/>
        </w:numPr>
        <w:spacing w:before="120" w:after="120" w:line="288" w:lineRule="auto"/>
        <w:jc w:val="both"/>
        <w:rPr>
          <w:sz w:val="25"/>
          <w:szCs w:val="25"/>
        </w:rPr>
      </w:pPr>
      <w:r>
        <w:rPr>
          <w:sz w:val="25"/>
          <w:szCs w:val="25"/>
        </w:rPr>
        <w:t>Assurance-vie</w:t>
      </w:r>
      <w:r>
        <w:rPr>
          <w:sz w:val="25"/>
          <w:szCs w:val="25"/>
        </w:rPr>
        <w:tab/>
      </w:r>
      <w:r>
        <w:rPr>
          <w:sz w:val="25"/>
          <w:szCs w:val="25"/>
        </w:rPr>
        <w:tab/>
        <w:t>10.000 DT</w:t>
      </w:r>
    </w:p>
    <w:p w:rsidR="00994757" w:rsidRDefault="00994757" w:rsidP="00FB7469">
      <w:pPr>
        <w:pStyle w:val="Paragraphedeliste"/>
        <w:numPr>
          <w:ilvl w:val="0"/>
          <w:numId w:val="2"/>
        </w:numPr>
        <w:spacing w:before="120" w:after="120" w:line="288" w:lineRule="auto"/>
        <w:jc w:val="both"/>
        <w:rPr>
          <w:sz w:val="25"/>
          <w:szCs w:val="25"/>
        </w:rPr>
      </w:pPr>
      <w:r>
        <w:rPr>
          <w:sz w:val="25"/>
          <w:szCs w:val="25"/>
        </w:rPr>
        <w:t>Cotisation CNSS</w:t>
      </w:r>
      <w:r>
        <w:rPr>
          <w:sz w:val="25"/>
          <w:szCs w:val="25"/>
        </w:rPr>
        <w:tab/>
      </w:r>
      <w:r>
        <w:rPr>
          <w:sz w:val="25"/>
          <w:szCs w:val="25"/>
        </w:rPr>
        <w:tab/>
        <w:t xml:space="preserve">  4.000 DT</w:t>
      </w:r>
    </w:p>
    <w:p w:rsidR="00F94D05" w:rsidRPr="00FB7469" w:rsidRDefault="00F94D05" w:rsidP="00F94D05">
      <w:pPr>
        <w:pStyle w:val="Paragraphedeliste"/>
        <w:spacing w:before="120" w:after="120" w:line="288" w:lineRule="auto"/>
        <w:ind w:left="4956"/>
        <w:jc w:val="both"/>
        <w:rPr>
          <w:sz w:val="25"/>
          <w:szCs w:val="25"/>
        </w:rPr>
      </w:pPr>
      <w:r>
        <w:rPr>
          <w:sz w:val="25"/>
          <w:szCs w:val="25"/>
        </w:rPr>
        <w:t>__________</w:t>
      </w:r>
    </w:p>
    <w:p w:rsidR="00F94D05" w:rsidRDefault="00F94D05" w:rsidP="005D3157">
      <w:pPr>
        <w:spacing w:before="120" w:after="120" w:line="288" w:lineRule="auto"/>
        <w:jc w:val="both"/>
        <w:rPr>
          <w:sz w:val="25"/>
          <w:szCs w:val="25"/>
        </w:rPr>
      </w:pPr>
      <w:r w:rsidRPr="00F94D05">
        <w:rPr>
          <w:sz w:val="25"/>
          <w:szCs w:val="25"/>
        </w:rPr>
        <w:sym w:font="Wingdings 2" w:char="F0AE"/>
      </w:r>
      <w:r w:rsidRPr="00F94D05">
        <w:rPr>
          <w:sz w:val="25"/>
          <w:szCs w:val="25"/>
        </w:rPr>
        <w:t xml:space="preserve"> </w:t>
      </w:r>
      <w:r>
        <w:rPr>
          <w:sz w:val="25"/>
          <w:szCs w:val="25"/>
        </w:rPr>
        <w:t>Revenus nets imposables avant CEA</w:t>
      </w:r>
      <w:r w:rsidRPr="00F94D05">
        <w:rPr>
          <w:sz w:val="25"/>
          <w:szCs w:val="25"/>
        </w:rPr>
        <w:tab/>
      </w:r>
      <w:r w:rsidRPr="00F94D05">
        <w:rPr>
          <w:sz w:val="25"/>
          <w:szCs w:val="25"/>
        </w:rPr>
        <w:tab/>
        <w:t xml:space="preserve">   </w:t>
      </w:r>
      <w:r w:rsidR="005D3157">
        <w:rPr>
          <w:sz w:val="25"/>
          <w:szCs w:val="25"/>
        </w:rPr>
        <w:t>92.850</w:t>
      </w:r>
      <w:r w:rsidRPr="00F94D05">
        <w:rPr>
          <w:sz w:val="25"/>
          <w:szCs w:val="25"/>
        </w:rPr>
        <w:t xml:space="preserve"> DT</w:t>
      </w:r>
    </w:p>
    <w:p w:rsidR="00F94D05" w:rsidRDefault="00F94D05" w:rsidP="00F94D05">
      <w:pPr>
        <w:pStyle w:val="Paragraphedeliste"/>
        <w:numPr>
          <w:ilvl w:val="0"/>
          <w:numId w:val="2"/>
        </w:numPr>
        <w:spacing w:before="120" w:after="120" w:line="288" w:lineRule="auto"/>
        <w:jc w:val="both"/>
        <w:rPr>
          <w:sz w:val="25"/>
          <w:szCs w:val="25"/>
        </w:rPr>
      </w:pPr>
      <w:r>
        <w:rPr>
          <w:sz w:val="25"/>
          <w:szCs w:val="25"/>
        </w:rPr>
        <w:t>CEA</w:t>
      </w:r>
      <w:r>
        <w:rPr>
          <w:sz w:val="25"/>
          <w:szCs w:val="25"/>
        </w:rPr>
        <w:tab/>
      </w:r>
      <w:r>
        <w:rPr>
          <w:sz w:val="25"/>
          <w:szCs w:val="25"/>
        </w:rPr>
        <w:tab/>
      </w:r>
      <w:r>
        <w:rPr>
          <w:sz w:val="25"/>
          <w:szCs w:val="25"/>
        </w:rPr>
        <w:tab/>
      </w:r>
      <w:r>
        <w:rPr>
          <w:sz w:val="25"/>
          <w:szCs w:val="25"/>
        </w:rPr>
        <w:tab/>
      </w:r>
      <w:r>
        <w:rPr>
          <w:sz w:val="25"/>
          <w:szCs w:val="25"/>
        </w:rPr>
        <w:tab/>
        <w:t xml:space="preserve">   40.000 DT</w:t>
      </w:r>
    </w:p>
    <w:p w:rsidR="00F94D05" w:rsidRPr="00F94D05" w:rsidRDefault="00F94D05" w:rsidP="00F94D05">
      <w:pPr>
        <w:pStyle w:val="Paragraphedeliste"/>
        <w:spacing w:before="120" w:after="120" w:line="288" w:lineRule="auto"/>
        <w:ind w:left="4956"/>
        <w:jc w:val="both"/>
        <w:rPr>
          <w:sz w:val="25"/>
          <w:szCs w:val="25"/>
        </w:rPr>
      </w:pPr>
      <w:r>
        <w:rPr>
          <w:sz w:val="25"/>
          <w:szCs w:val="25"/>
        </w:rPr>
        <w:t>__________</w:t>
      </w:r>
    </w:p>
    <w:p w:rsidR="00F94D05" w:rsidRDefault="00F94D05" w:rsidP="005D3157">
      <w:pPr>
        <w:spacing w:before="120" w:after="120" w:line="288" w:lineRule="auto"/>
        <w:jc w:val="both"/>
        <w:rPr>
          <w:sz w:val="25"/>
          <w:szCs w:val="25"/>
        </w:rPr>
      </w:pPr>
      <w:r w:rsidRPr="00F94D05">
        <w:rPr>
          <w:sz w:val="25"/>
          <w:szCs w:val="25"/>
        </w:rPr>
        <w:sym w:font="Wingdings 2" w:char="F0AE"/>
      </w:r>
      <w:r w:rsidRPr="00F94D05">
        <w:rPr>
          <w:sz w:val="25"/>
          <w:szCs w:val="25"/>
        </w:rPr>
        <w:t xml:space="preserve"> </w:t>
      </w:r>
      <w:r>
        <w:rPr>
          <w:sz w:val="25"/>
          <w:szCs w:val="25"/>
        </w:rPr>
        <w:t>Revenus nets imposables après CEA</w:t>
      </w:r>
      <w:r w:rsidRPr="00F94D05">
        <w:rPr>
          <w:sz w:val="25"/>
          <w:szCs w:val="25"/>
        </w:rPr>
        <w:tab/>
      </w:r>
      <w:r w:rsidRPr="00F94D05">
        <w:rPr>
          <w:sz w:val="25"/>
          <w:szCs w:val="25"/>
        </w:rPr>
        <w:tab/>
        <w:t xml:space="preserve">   </w:t>
      </w:r>
      <w:r w:rsidR="005D3157">
        <w:rPr>
          <w:sz w:val="25"/>
          <w:szCs w:val="25"/>
        </w:rPr>
        <w:t>52.850</w:t>
      </w:r>
      <w:r w:rsidRPr="00F94D05">
        <w:rPr>
          <w:sz w:val="25"/>
          <w:szCs w:val="25"/>
        </w:rPr>
        <w:t xml:space="preserve"> DT</w:t>
      </w:r>
    </w:p>
    <w:p w:rsidR="00F94D05" w:rsidRDefault="00F94D05" w:rsidP="005D3157">
      <w:pPr>
        <w:spacing w:before="120" w:after="120" w:line="288" w:lineRule="auto"/>
        <w:jc w:val="both"/>
        <w:rPr>
          <w:sz w:val="25"/>
          <w:szCs w:val="25"/>
        </w:rPr>
      </w:pPr>
      <w:r w:rsidRPr="00F94D05">
        <w:rPr>
          <w:sz w:val="25"/>
          <w:szCs w:val="25"/>
        </w:rPr>
        <w:sym w:font="Wingdings 2" w:char="F0AE"/>
      </w:r>
      <w:r w:rsidRPr="00F94D05">
        <w:rPr>
          <w:sz w:val="25"/>
          <w:szCs w:val="25"/>
        </w:rPr>
        <w:t xml:space="preserve"> </w:t>
      </w:r>
      <w:r>
        <w:rPr>
          <w:sz w:val="25"/>
          <w:szCs w:val="25"/>
        </w:rPr>
        <w:t>Impôt sur le revenu (IR)</w:t>
      </w:r>
      <w:r>
        <w:rPr>
          <w:sz w:val="25"/>
          <w:szCs w:val="25"/>
        </w:rPr>
        <w:tab/>
        <w:t xml:space="preserve"> </w:t>
      </w:r>
      <w:r w:rsidR="005D3157">
        <w:rPr>
          <w:sz w:val="25"/>
          <w:szCs w:val="25"/>
        </w:rPr>
        <w:t>14.022</w:t>
      </w:r>
      <w:r>
        <w:rPr>
          <w:sz w:val="25"/>
          <w:szCs w:val="25"/>
        </w:rPr>
        <w:t xml:space="preserve"> DT</w:t>
      </w:r>
      <w:r>
        <w:rPr>
          <w:sz w:val="25"/>
          <w:szCs w:val="25"/>
        </w:rPr>
        <w:tab/>
      </w:r>
      <w:r w:rsidRPr="00F94D05">
        <w:rPr>
          <w:sz w:val="25"/>
          <w:szCs w:val="25"/>
        </w:rPr>
        <w:tab/>
      </w:r>
      <w:r w:rsidRPr="00F94D05">
        <w:rPr>
          <w:sz w:val="25"/>
          <w:szCs w:val="25"/>
        </w:rPr>
        <w:tab/>
      </w:r>
    </w:p>
    <w:p w:rsidR="00F94D05" w:rsidRDefault="00E12DA5" w:rsidP="005D3157">
      <w:pPr>
        <w:spacing w:before="120" w:after="120" w:line="288" w:lineRule="auto"/>
        <w:jc w:val="both"/>
        <w:rPr>
          <w:sz w:val="25"/>
          <w:szCs w:val="25"/>
        </w:rPr>
      </w:pPr>
      <w:r>
        <w:rPr>
          <w:noProof/>
          <w:sz w:val="25"/>
          <w:szCs w:val="25"/>
          <w:lang w:eastAsia="fr-FR"/>
        </w:rPr>
        <w:pict>
          <v:oval id="_x0000_s1038" style="position:absolute;left:0;text-align:left;margin-left:202.15pt;margin-top:22.1pt;width:33pt;height:22.5pt;z-index:251669504" filled="f" fillcolor="white [3201]" strokecolor="black [3200]" strokeweight="2.5pt">
            <v:shadow color="#868686"/>
          </v:oval>
        </w:pict>
      </w:r>
      <w:r w:rsidR="00F94D05" w:rsidRPr="00F94D05">
        <w:rPr>
          <w:sz w:val="25"/>
          <w:szCs w:val="25"/>
        </w:rPr>
        <w:sym w:font="Wingdings 2" w:char="F0AE"/>
      </w:r>
      <w:r w:rsidR="00F94D05" w:rsidRPr="00F94D05">
        <w:rPr>
          <w:sz w:val="25"/>
          <w:szCs w:val="25"/>
        </w:rPr>
        <w:t xml:space="preserve"> </w:t>
      </w:r>
      <w:r w:rsidR="00F94D05">
        <w:rPr>
          <w:sz w:val="25"/>
          <w:szCs w:val="25"/>
        </w:rPr>
        <w:t xml:space="preserve">Impôt minimum             </w:t>
      </w:r>
      <w:r w:rsidR="005D3157">
        <w:rPr>
          <w:sz w:val="25"/>
          <w:szCs w:val="25"/>
        </w:rPr>
        <w:t>16.813</w:t>
      </w:r>
      <w:r w:rsidR="00F94D05">
        <w:rPr>
          <w:sz w:val="25"/>
          <w:szCs w:val="25"/>
        </w:rPr>
        <w:t>,5 DT</w:t>
      </w:r>
      <w:r w:rsidR="00F94D05">
        <w:rPr>
          <w:sz w:val="25"/>
          <w:szCs w:val="25"/>
        </w:rPr>
        <w:tab/>
      </w:r>
      <w:r w:rsidR="00F94D05" w:rsidRPr="00F94D05">
        <w:rPr>
          <w:sz w:val="25"/>
          <w:szCs w:val="25"/>
        </w:rPr>
        <w:tab/>
      </w:r>
      <w:r w:rsidR="00F94D05" w:rsidRPr="00F94D05">
        <w:rPr>
          <w:sz w:val="25"/>
          <w:szCs w:val="25"/>
        </w:rPr>
        <w:tab/>
      </w:r>
    </w:p>
    <w:p w:rsidR="00F94D05" w:rsidRPr="00F94D05" w:rsidRDefault="00F94D05" w:rsidP="00843065">
      <w:pPr>
        <w:spacing w:after="0" w:line="288" w:lineRule="auto"/>
        <w:rPr>
          <w:b/>
          <w:bCs/>
          <w:sz w:val="25"/>
          <w:szCs w:val="25"/>
        </w:rPr>
      </w:pPr>
      <w:r w:rsidRPr="00F94D05">
        <w:rPr>
          <w:b/>
          <w:bCs/>
          <w:sz w:val="25"/>
          <w:szCs w:val="25"/>
        </w:rPr>
        <w:sym w:font="Wingdings 2" w:char="F0AE"/>
      </w:r>
      <w:r w:rsidRPr="00F94D05">
        <w:rPr>
          <w:b/>
          <w:bCs/>
          <w:sz w:val="25"/>
          <w:szCs w:val="25"/>
        </w:rPr>
        <w:t xml:space="preserve"> Impôt sur le revenu (IR) retenu </w:t>
      </w:r>
      <w:r w:rsidRPr="00F94D05">
        <w:rPr>
          <w:b/>
          <w:bCs/>
          <w:sz w:val="25"/>
          <w:szCs w:val="25"/>
        </w:rPr>
        <w:tab/>
      </w:r>
      <w:r w:rsidRPr="00F94D05">
        <w:rPr>
          <w:b/>
          <w:bCs/>
          <w:sz w:val="25"/>
          <w:szCs w:val="25"/>
        </w:rPr>
        <w:tab/>
      </w:r>
      <w:r w:rsidR="00E40336">
        <w:rPr>
          <w:b/>
          <w:bCs/>
          <w:sz w:val="25"/>
          <w:szCs w:val="25"/>
        </w:rPr>
        <w:t>1,5</w:t>
      </w:r>
      <w:r w:rsidRPr="00F94D05">
        <w:rPr>
          <w:b/>
          <w:bCs/>
          <w:sz w:val="25"/>
          <w:szCs w:val="25"/>
        </w:rPr>
        <w:tab/>
        <w:t xml:space="preserve"> </w:t>
      </w:r>
      <w:r w:rsidR="005D3157">
        <w:rPr>
          <w:b/>
          <w:bCs/>
          <w:sz w:val="25"/>
          <w:szCs w:val="25"/>
        </w:rPr>
        <w:t>16.813</w:t>
      </w:r>
      <w:r w:rsidRPr="00F94D05">
        <w:rPr>
          <w:b/>
          <w:bCs/>
          <w:sz w:val="25"/>
          <w:szCs w:val="25"/>
        </w:rPr>
        <w:t>,5 DT</w:t>
      </w:r>
      <w:r w:rsidRPr="00F94D05">
        <w:rPr>
          <w:b/>
          <w:bCs/>
          <w:sz w:val="25"/>
          <w:szCs w:val="25"/>
        </w:rPr>
        <w:tab/>
      </w:r>
      <w:r w:rsidR="00E40336">
        <w:rPr>
          <w:b/>
          <w:bCs/>
          <w:sz w:val="25"/>
          <w:szCs w:val="25"/>
        </w:rPr>
        <w:t xml:space="preserve">      </w:t>
      </w:r>
    </w:p>
    <w:p w:rsidR="00FB7469" w:rsidRPr="00E40336" w:rsidRDefault="00E40336" w:rsidP="00843065">
      <w:pPr>
        <w:spacing w:after="0" w:line="288" w:lineRule="auto"/>
        <w:jc w:val="both"/>
        <w:rPr>
          <w:b/>
          <w:bCs/>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p>
    <w:p w:rsidR="00FB7469" w:rsidRPr="00E15771" w:rsidRDefault="00F94D05" w:rsidP="00E40336">
      <w:pPr>
        <w:spacing w:after="0" w:line="288" w:lineRule="auto"/>
        <w:jc w:val="both"/>
        <w:rPr>
          <w:b/>
          <w:bCs/>
          <w:sz w:val="25"/>
          <w:szCs w:val="25"/>
        </w:rPr>
      </w:pPr>
      <w:r w:rsidRPr="00E15771">
        <w:rPr>
          <w:b/>
          <w:bCs/>
          <w:sz w:val="25"/>
          <w:szCs w:val="25"/>
        </w:rPr>
        <w:t>REDEVANCE DE COMPENSATION</w:t>
      </w:r>
    </w:p>
    <w:p w:rsidR="00F94D05" w:rsidRPr="00FB7469" w:rsidRDefault="00E12DA5" w:rsidP="00B51F73">
      <w:pPr>
        <w:spacing w:before="120" w:after="120" w:line="288" w:lineRule="auto"/>
        <w:jc w:val="both"/>
        <w:rPr>
          <w:sz w:val="25"/>
          <w:szCs w:val="25"/>
        </w:rPr>
      </w:pPr>
      <w:r w:rsidRPr="00E12DA5">
        <w:rPr>
          <w:b/>
          <w:bCs/>
          <w:noProof/>
          <w:sz w:val="25"/>
          <w:szCs w:val="25"/>
          <w:lang w:eastAsia="fr-FR"/>
        </w:rPr>
        <w:pict>
          <v:oval id="_x0000_s1039" style="position:absolute;left:0;text-align:left;margin-left:310.9pt;margin-top:2.15pt;width:28.5pt;height:22.5pt;z-index:251670528" filled="f" fillcolor="white [3201]" strokecolor="black [3200]" strokeweight="2.5pt">
            <v:shadow color="#868686"/>
          </v:oval>
        </w:pict>
      </w:r>
      <w:r w:rsidR="005D3157">
        <w:rPr>
          <w:sz w:val="25"/>
          <w:szCs w:val="25"/>
        </w:rPr>
        <w:t>52.850</w:t>
      </w:r>
      <w:r w:rsidR="00B51F73">
        <w:rPr>
          <w:sz w:val="25"/>
          <w:szCs w:val="25"/>
        </w:rPr>
        <w:t xml:space="preserve"> – 16.813,5 </w:t>
      </w:r>
      <w:r w:rsidR="00F94D05">
        <w:rPr>
          <w:sz w:val="25"/>
          <w:szCs w:val="25"/>
        </w:rPr>
        <w:t xml:space="preserve"> + 25.000 (dividendes) x 1% = </w:t>
      </w:r>
      <w:r w:rsidR="00B51F73">
        <w:rPr>
          <w:b/>
          <w:bCs/>
          <w:sz w:val="25"/>
          <w:szCs w:val="25"/>
        </w:rPr>
        <w:t>610,365</w:t>
      </w:r>
      <w:r w:rsidR="00E40336">
        <w:rPr>
          <w:b/>
          <w:bCs/>
          <w:sz w:val="25"/>
          <w:szCs w:val="25"/>
        </w:rPr>
        <w:t xml:space="preserve">   </w:t>
      </w:r>
      <w:r w:rsidR="00AC3B2F">
        <w:rPr>
          <w:b/>
          <w:bCs/>
          <w:sz w:val="25"/>
          <w:szCs w:val="25"/>
        </w:rPr>
        <w:t xml:space="preserve">   </w:t>
      </w:r>
      <w:r w:rsidR="00E40336">
        <w:rPr>
          <w:b/>
          <w:bCs/>
          <w:sz w:val="25"/>
          <w:szCs w:val="25"/>
        </w:rPr>
        <w:t>0,5</w:t>
      </w:r>
    </w:p>
    <w:p w:rsidR="00FB7469" w:rsidRDefault="00FB7469" w:rsidP="00FB7469">
      <w:pPr>
        <w:pStyle w:val="Paragraphedeliste"/>
        <w:spacing w:before="120" w:after="120" w:line="288" w:lineRule="auto"/>
        <w:ind w:left="4956"/>
        <w:jc w:val="both"/>
        <w:rPr>
          <w:sz w:val="25"/>
          <w:szCs w:val="25"/>
        </w:rPr>
      </w:pPr>
    </w:p>
    <w:p w:rsidR="00FB7469" w:rsidRDefault="00FB7469" w:rsidP="00E40336">
      <w:pPr>
        <w:pStyle w:val="Paragraphedeliste"/>
        <w:spacing w:before="120" w:after="120" w:line="288" w:lineRule="auto"/>
        <w:ind w:left="4956"/>
        <w:jc w:val="both"/>
        <w:rPr>
          <w:sz w:val="25"/>
          <w:szCs w:val="25"/>
        </w:rPr>
      </w:pPr>
    </w:p>
    <w:p w:rsidR="00E40336" w:rsidRDefault="00E40336" w:rsidP="00E40336">
      <w:pPr>
        <w:pStyle w:val="Paragraphedeliste"/>
        <w:spacing w:before="120" w:after="120" w:line="288" w:lineRule="auto"/>
        <w:ind w:left="4956"/>
        <w:jc w:val="both"/>
        <w:rPr>
          <w:sz w:val="25"/>
          <w:szCs w:val="25"/>
        </w:rPr>
      </w:pPr>
    </w:p>
    <w:p w:rsidR="00E40336" w:rsidRDefault="00E40336" w:rsidP="00E40336">
      <w:pPr>
        <w:pStyle w:val="Paragraphedeliste"/>
        <w:spacing w:before="120" w:after="120" w:line="288" w:lineRule="auto"/>
        <w:ind w:left="4956"/>
        <w:jc w:val="both"/>
        <w:rPr>
          <w:sz w:val="25"/>
          <w:szCs w:val="25"/>
        </w:rPr>
      </w:pPr>
    </w:p>
    <w:p w:rsidR="00E40336" w:rsidRDefault="00E40336" w:rsidP="00E40336">
      <w:pPr>
        <w:pStyle w:val="Paragraphedeliste"/>
        <w:spacing w:before="120" w:after="120" w:line="288" w:lineRule="auto"/>
        <w:ind w:left="4956"/>
        <w:jc w:val="both"/>
        <w:rPr>
          <w:sz w:val="25"/>
          <w:szCs w:val="25"/>
        </w:rPr>
      </w:pPr>
    </w:p>
    <w:p w:rsidR="00E40336" w:rsidRDefault="00E40336" w:rsidP="00E40336">
      <w:pPr>
        <w:pStyle w:val="Paragraphedeliste"/>
        <w:spacing w:before="120" w:after="120" w:line="288" w:lineRule="auto"/>
        <w:ind w:left="4956"/>
        <w:jc w:val="both"/>
        <w:rPr>
          <w:sz w:val="25"/>
          <w:szCs w:val="25"/>
        </w:rPr>
      </w:pPr>
    </w:p>
    <w:p w:rsidR="00E40336" w:rsidRDefault="00E40336" w:rsidP="00E40336">
      <w:pPr>
        <w:pStyle w:val="Paragraphedeliste"/>
        <w:spacing w:before="120" w:after="120" w:line="288" w:lineRule="auto"/>
        <w:ind w:left="4956"/>
        <w:jc w:val="both"/>
        <w:rPr>
          <w:sz w:val="25"/>
          <w:szCs w:val="25"/>
        </w:rPr>
      </w:pPr>
    </w:p>
    <w:p w:rsidR="00E40336" w:rsidRDefault="00E40336" w:rsidP="00E40336">
      <w:pPr>
        <w:pStyle w:val="Paragraphedeliste"/>
        <w:spacing w:before="120" w:after="120" w:line="288" w:lineRule="auto"/>
        <w:ind w:left="4956"/>
        <w:jc w:val="both"/>
        <w:rPr>
          <w:sz w:val="25"/>
          <w:szCs w:val="25"/>
        </w:rPr>
      </w:pPr>
    </w:p>
    <w:p w:rsidR="00E40336" w:rsidRDefault="00E40336" w:rsidP="00E40336">
      <w:pPr>
        <w:pStyle w:val="Paragraphedeliste"/>
        <w:spacing w:before="120" w:after="120" w:line="288" w:lineRule="auto"/>
        <w:ind w:left="4956"/>
        <w:jc w:val="both"/>
        <w:rPr>
          <w:sz w:val="25"/>
          <w:szCs w:val="25"/>
        </w:rPr>
      </w:pPr>
    </w:p>
    <w:p w:rsidR="00E40336" w:rsidRPr="00FB7469" w:rsidRDefault="00E40336" w:rsidP="00E40336">
      <w:pPr>
        <w:pStyle w:val="Paragraphedeliste"/>
        <w:spacing w:before="120" w:after="120" w:line="288" w:lineRule="auto"/>
        <w:ind w:left="4956"/>
        <w:jc w:val="both"/>
        <w:rPr>
          <w:sz w:val="25"/>
          <w:szCs w:val="25"/>
        </w:rPr>
      </w:pPr>
    </w:p>
    <w:p w:rsidR="00FB7469" w:rsidRPr="00FB7469" w:rsidRDefault="00FB7469" w:rsidP="00FB7469">
      <w:pPr>
        <w:spacing w:before="120" w:after="120" w:line="288" w:lineRule="auto"/>
        <w:jc w:val="both"/>
        <w:rPr>
          <w:sz w:val="25"/>
          <w:szCs w:val="25"/>
        </w:rPr>
      </w:pPr>
      <w:r>
        <w:rPr>
          <w:sz w:val="25"/>
          <w:szCs w:val="25"/>
        </w:rPr>
        <w:tab/>
      </w:r>
      <w:r>
        <w:rPr>
          <w:sz w:val="25"/>
          <w:szCs w:val="25"/>
        </w:rPr>
        <w:tab/>
      </w:r>
      <w:r>
        <w:rPr>
          <w:sz w:val="25"/>
          <w:szCs w:val="25"/>
        </w:rPr>
        <w:tab/>
      </w:r>
      <w:r>
        <w:rPr>
          <w:sz w:val="25"/>
          <w:szCs w:val="25"/>
        </w:rPr>
        <w:tab/>
      </w:r>
    </w:p>
    <w:p w:rsidR="004B0D5E" w:rsidRDefault="004B0D5E" w:rsidP="004B0D5E">
      <w:pPr>
        <w:pStyle w:val="Paragraphedeliste"/>
        <w:spacing w:line="360" w:lineRule="auto"/>
        <w:jc w:val="both"/>
        <w:rPr>
          <w:sz w:val="25"/>
          <w:szCs w:val="25"/>
        </w:rPr>
      </w:pPr>
      <w:r w:rsidRPr="004B0D5E">
        <w:rPr>
          <w:rFonts w:asciiTheme="majorBidi" w:hAnsiTheme="majorBidi" w:cstheme="majorBidi"/>
          <w:b/>
          <w:bCs/>
          <w:sz w:val="32"/>
          <w:szCs w:val="32"/>
        </w:rPr>
        <w:lastRenderedPageBreak/>
        <w:t>III</w:t>
      </w:r>
      <w:r>
        <w:rPr>
          <w:sz w:val="25"/>
          <w:szCs w:val="25"/>
        </w:rPr>
        <w:t xml:space="preserve"> - </w:t>
      </w:r>
    </w:p>
    <w:p w:rsidR="00B51F73" w:rsidRDefault="00B51F73" w:rsidP="00B51F73">
      <w:pPr>
        <w:pStyle w:val="Paragraphedeliste"/>
        <w:numPr>
          <w:ilvl w:val="0"/>
          <w:numId w:val="7"/>
        </w:numPr>
        <w:tabs>
          <w:tab w:val="left" w:pos="284"/>
        </w:tabs>
        <w:spacing w:before="120" w:after="120" w:line="288" w:lineRule="auto"/>
        <w:ind w:left="0" w:firstLine="0"/>
        <w:jc w:val="both"/>
        <w:rPr>
          <w:sz w:val="25"/>
          <w:szCs w:val="25"/>
        </w:rPr>
      </w:pPr>
    </w:p>
    <w:p w:rsidR="00B447C6" w:rsidRPr="00B447C6" w:rsidRDefault="00E12DA5" w:rsidP="00B447C6">
      <w:pPr>
        <w:pStyle w:val="Paragraphedeliste"/>
        <w:numPr>
          <w:ilvl w:val="0"/>
          <w:numId w:val="8"/>
        </w:numPr>
        <w:tabs>
          <w:tab w:val="left" w:pos="284"/>
        </w:tabs>
        <w:spacing w:before="120" w:after="120" w:line="288" w:lineRule="auto"/>
        <w:jc w:val="both"/>
        <w:rPr>
          <w:sz w:val="25"/>
          <w:szCs w:val="25"/>
          <w:u w:val="single"/>
        </w:rPr>
      </w:pPr>
      <w:r w:rsidRPr="00E12DA5">
        <w:rPr>
          <w:rFonts w:asciiTheme="majorBidi" w:hAnsiTheme="majorBidi" w:cstheme="majorBidi"/>
          <w:b/>
          <w:bCs/>
          <w:noProof/>
          <w:sz w:val="32"/>
          <w:szCs w:val="32"/>
          <w:lang w:eastAsia="fr-FR"/>
        </w:rPr>
        <w:pict>
          <v:oval id="_x0000_s1041" style="position:absolute;left:0;text-align:left;margin-left:167.65pt;margin-top:.25pt;width:28.5pt;height:22.5pt;z-index:251672576" filled="f" fillcolor="white [3201]" strokecolor="black [3200]" strokeweight="2.5pt">
            <v:shadow color="#868686"/>
          </v:oval>
        </w:pict>
      </w:r>
      <w:r w:rsidR="00B447C6" w:rsidRPr="00B447C6">
        <w:rPr>
          <w:sz w:val="25"/>
          <w:szCs w:val="25"/>
          <w:u w:val="single"/>
        </w:rPr>
        <w:t>Modalités de restitution</w:t>
      </w:r>
      <w:r w:rsidR="00E40336" w:rsidRPr="00E40336">
        <w:rPr>
          <w:b/>
          <w:bCs/>
          <w:sz w:val="32"/>
          <w:szCs w:val="32"/>
        </w:rPr>
        <w:t xml:space="preserve">   </w:t>
      </w:r>
      <w:r w:rsidR="00AC3B2F">
        <w:rPr>
          <w:b/>
          <w:bCs/>
          <w:sz w:val="32"/>
          <w:szCs w:val="32"/>
        </w:rPr>
        <w:t xml:space="preserve"> </w:t>
      </w:r>
      <w:r w:rsidR="00E40336" w:rsidRPr="00E40336">
        <w:rPr>
          <w:b/>
          <w:bCs/>
          <w:sz w:val="32"/>
          <w:szCs w:val="32"/>
        </w:rPr>
        <w:t>1</w:t>
      </w:r>
    </w:p>
    <w:p w:rsidR="00B447C6" w:rsidRPr="00B447C6" w:rsidRDefault="00B447C6" w:rsidP="00B447C6">
      <w:pPr>
        <w:pStyle w:val="Paragraphedeliste"/>
        <w:tabs>
          <w:tab w:val="left" w:pos="284"/>
        </w:tabs>
        <w:spacing w:before="120" w:after="120" w:line="288" w:lineRule="auto"/>
        <w:jc w:val="both"/>
        <w:rPr>
          <w:sz w:val="12"/>
          <w:szCs w:val="12"/>
        </w:rPr>
      </w:pPr>
    </w:p>
    <w:p w:rsidR="00E02266" w:rsidRDefault="00B51F73" w:rsidP="00B51F73">
      <w:pPr>
        <w:pStyle w:val="Paragraphedeliste"/>
        <w:tabs>
          <w:tab w:val="left" w:pos="284"/>
        </w:tabs>
        <w:spacing w:before="120" w:after="120" w:line="288" w:lineRule="auto"/>
        <w:ind w:left="0"/>
        <w:jc w:val="both"/>
        <w:rPr>
          <w:sz w:val="25"/>
          <w:szCs w:val="25"/>
        </w:rPr>
      </w:pPr>
      <w:r w:rsidRPr="00B51F73">
        <w:rPr>
          <w:sz w:val="25"/>
          <w:szCs w:val="25"/>
        </w:rPr>
        <w:t>Conformément aux dispositions des articles 15 du code de la TVA et 32 du CDPF</w:t>
      </w:r>
      <w:r>
        <w:rPr>
          <w:sz w:val="25"/>
          <w:szCs w:val="25"/>
        </w:rPr>
        <w:t>, le crédit de TVA provenant de l’exploitation est remboursé :</w:t>
      </w:r>
    </w:p>
    <w:p w:rsidR="00B51F73" w:rsidRPr="00CC3F76" w:rsidRDefault="00B51F73" w:rsidP="00B51F73">
      <w:pPr>
        <w:pStyle w:val="Paragraphedeliste"/>
        <w:tabs>
          <w:tab w:val="left" w:pos="284"/>
        </w:tabs>
        <w:spacing w:before="120" w:after="120" w:line="288" w:lineRule="auto"/>
        <w:ind w:left="0"/>
        <w:jc w:val="both"/>
        <w:rPr>
          <w:sz w:val="16"/>
          <w:szCs w:val="16"/>
        </w:rPr>
      </w:pPr>
    </w:p>
    <w:p w:rsidR="00B51F73" w:rsidRDefault="00B51F73" w:rsidP="00B51F73">
      <w:pPr>
        <w:pStyle w:val="Paragraphedeliste"/>
        <w:tabs>
          <w:tab w:val="left" w:pos="284"/>
        </w:tabs>
        <w:spacing w:before="120" w:after="120" w:line="288" w:lineRule="auto"/>
        <w:ind w:left="0"/>
        <w:jc w:val="both"/>
        <w:rPr>
          <w:sz w:val="25"/>
          <w:szCs w:val="25"/>
        </w:rPr>
      </w:pPr>
      <w:r>
        <w:rPr>
          <w:sz w:val="25"/>
          <w:szCs w:val="25"/>
        </w:rPr>
        <w:sym w:font="Wingdings 2" w:char="F050"/>
      </w:r>
      <w:r>
        <w:rPr>
          <w:sz w:val="25"/>
          <w:szCs w:val="25"/>
        </w:rPr>
        <w:t xml:space="preserve"> Sous forme d’une avance de 15% du montant total du crédit</w:t>
      </w:r>
      <w:r w:rsidR="00CC3F76">
        <w:rPr>
          <w:sz w:val="25"/>
          <w:szCs w:val="25"/>
        </w:rPr>
        <w:t xml:space="preserve"> de TVA à condition que le crédit soit dégagé par 6 déclarations mensuelles consécutives. Le montant de l’avance est porté à 50% pour les sociétés soumises à l’obligation légale d’avoir un commissaire aux comptes et pour lesquelles les comptes du dernier exercice ont été certifiés </w:t>
      </w:r>
      <w:r w:rsidR="00937983">
        <w:rPr>
          <w:sz w:val="25"/>
          <w:szCs w:val="25"/>
        </w:rPr>
        <w:t>sans réserve de nature fiscale.</w:t>
      </w:r>
    </w:p>
    <w:p w:rsidR="00937983" w:rsidRDefault="00937983" w:rsidP="00B51F73">
      <w:pPr>
        <w:pStyle w:val="Paragraphedeliste"/>
        <w:tabs>
          <w:tab w:val="left" w:pos="284"/>
        </w:tabs>
        <w:spacing w:before="120" w:after="120" w:line="288" w:lineRule="auto"/>
        <w:ind w:left="0"/>
        <w:jc w:val="both"/>
        <w:rPr>
          <w:sz w:val="25"/>
          <w:szCs w:val="25"/>
        </w:rPr>
      </w:pPr>
      <w:r>
        <w:rPr>
          <w:sz w:val="25"/>
          <w:szCs w:val="25"/>
        </w:rPr>
        <w:sym w:font="Wingdings 2" w:char="F050"/>
      </w:r>
      <w:r>
        <w:rPr>
          <w:sz w:val="25"/>
          <w:szCs w:val="25"/>
        </w:rPr>
        <w:t xml:space="preserve"> Le reliquat est remboursé après vérification fiscale dans un délai de 120 jours, dans ce cas la société </w:t>
      </w:r>
      <w:r w:rsidR="00136C90">
        <w:rPr>
          <w:sz w:val="25"/>
          <w:szCs w:val="25"/>
        </w:rPr>
        <w:t xml:space="preserve">doit déposer des déclarations rectificatives à la date de dépôt de la demande de restitution comportant annulation du crédit demandé en restitution à titre définitif du montant de l’avance et à titre provisoire pour le reliquat. A défaut de réponse de la part de l’administration fiscale dans le délai de 120 jours, la société a le droit de reprendre la déduction du reliquat du crédit </w:t>
      </w:r>
      <w:r w:rsidR="00426FB0">
        <w:rPr>
          <w:sz w:val="25"/>
          <w:szCs w:val="25"/>
        </w:rPr>
        <w:t>par le dépôt d’une déclaration rectificative.</w:t>
      </w:r>
    </w:p>
    <w:p w:rsidR="00426FB0" w:rsidRDefault="00426FB0" w:rsidP="00180256">
      <w:pPr>
        <w:pStyle w:val="Paragraphedeliste"/>
        <w:tabs>
          <w:tab w:val="left" w:pos="284"/>
        </w:tabs>
        <w:spacing w:before="120" w:after="120" w:line="288" w:lineRule="auto"/>
        <w:ind w:left="0"/>
        <w:jc w:val="both"/>
        <w:rPr>
          <w:sz w:val="25"/>
          <w:szCs w:val="25"/>
        </w:rPr>
      </w:pPr>
      <w:r>
        <w:rPr>
          <w:sz w:val="25"/>
          <w:szCs w:val="25"/>
        </w:rPr>
        <w:t>Le délai de remboursement</w:t>
      </w:r>
      <w:r w:rsidR="00180256">
        <w:rPr>
          <w:sz w:val="25"/>
          <w:szCs w:val="25"/>
        </w:rPr>
        <w:t xml:space="preserve"> du reliquat</w:t>
      </w:r>
      <w:r>
        <w:rPr>
          <w:sz w:val="25"/>
          <w:szCs w:val="25"/>
        </w:rPr>
        <w:t xml:space="preserve"> </w:t>
      </w:r>
      <w:r w:rsidR="00822C31">
        <w:rPr>
          <w:sz w:val="25"/>
          <w:szCs w:val="25"/>
        </w:rPr>
        <w:t>d</w:t>
      </w:r>
      <w:r w:rsidR="00180256">
        <w:rPr>
          <w:sz w:val="25"/>
          <w:szCs w:val="25"/>
        </w:rPr>
        <w:t>e</w:t>
      </w:r>
      <w:r w:rsidR="00822C31">
        <w:rPr>
          <w:sz w:val="25"/>
          <w:szCs w:val="25"/>
        </w:rPr>
        <w:t xml:space="preserve"> crédit pour </w:t>
      </w:r>
      <w:r w:rsidR="00180256">
        <w:rPr>
          <w:sz w:val="25"/>
          <w:szCs w:val="25"/>
        </w:rPr>
        <w:t xml:space="preserve">les entreprises soumises à l’obligation légale d’avoir un commissaire aux comptes et pour lesquelles les comptes du dernier exercice ont été certifiés sans réserve de nature fiscale, est fixée à 60 jours. Dans ce cas, le délai de 15 jours séparant la date de notification de l’avis de la date de commencement de la vérification n’est pas opposable à l’administration fiscale. Dans tous les cas, la restitution ne peut être accordée que si la société a déposé toutes les déclarations fiscales échues à la date du dépôt de la demande. La restitution s’effectue après déduction des créances fiscales à la charge de la société « ABC » dans les écritures du receveur des finances. </w:t>
      </w:r>
    </w:p>
    <w:p w:rsidR="00B447C6" w:rsidRDefault="00E12DA5" w:rsidP="00180256">
      <w:pPr>
        <w:pStyle w:val="Paragraphedeliste"/>
        <w:tabs>
          <w:tab w:val="left" w:pos="284"/>
        </w:tabs>
        <w:spacing w:before="120" w:after="120" w:line="288" w:lineRule="auto"/>
        <w:ind w:left="0"/>
        <w:jc w:val="both"/>
        <w:rPr>
          <w:sz w:val="25"/>
          <w:szCs w:val="25"/>
        </w:rPr>
      </w:pPr>
      <w:r w:rsidRPr="00E12DA5">
        <w:rPr>
          <w:rFonts w:asciiTheme="majorBidi" w:hAnsiTheme="majorBidi" w:cstheme="majorBidi"/>
          <w:b/>
          <w:bCs/>
          <w:noProof/>
          <w:sz w:val="32"/>
          <w:szCs w:val="32"/>
          <w:lang w:eastAsia="fr-FR"/>
        </w:rPr>
        <w:pict>
          <v:oval id="_x0000_s1040" style="position:absolute;left:0;text-align:left;margin-left:200.65pt;margin-top:15.9pt;width:28.5pt;height:22.5pt;z-index:251671552" filled="f" fillcolor="white [3201]" strokecolor="black [3200]" strokeweight="2.5pt">
            <v:shadow color="#868686"/>
          </v:oval>
        </w:pict>
      </w:r>
    </w:p>
    <w:p w:rsidR="00B447C6" w:rsidRPr="00B447C6" w:rsidRDefault="00B447C6" w:rsidP="00B447C6">
      <w:pPr>
        <w:pStyle w:val="Paragraphedeliste"/>
        <w:numPr>
          <w:ilvl w:val="0"/>
          <w:numId w:val="8"/>
        </w:numPr>
        <w:tabs>
          <w:tab w:val="left" w:pos="284"/>
        </w:tabs>
        <w:spacing w:before="120" w:after="120" w:line="288" w:lineRule="auto"/>
        <w:jc w:val="both"/>
        <w:rPr>
          <w:sz w:val="25"/>
          <w:szCs w:val="25"/>
          <w:u w:val="single"/>
        </w:rPr>
      </w:pPr>
      <w:r w:rsidRPr="00B447C6">
        <w:rPr>
          <w:sz w:val="25"/>
          <w:szCs w:val="25"/>
          <w:u w:val="single"/>
        </w:rPr>
        <w:t>Montant de l’avance encaissée</w:t>
      </w:r>
      <w:r w:rsidR="00E40336" w:rsidRPr="00E40336">
        <w:rPr>
          <w:b/>
          <w:bCs/>
          <w:sz w:val="32"/>
          <w:szCs w:val="32"/>
        </w:rPr>
        <w:t xml:space="preserve">    1  </w:t>
      </w:r>
    </w:p>
    <w:p w:rsidR="00B447C6" w:rsidRPr="00B447C6" w:rsidRDefault="00B447C6" w:rsidP="00B447C6">
      <w:pPr>
        <w:pStyle w:val="Paragraphedeliste"/>
        <w:tabs>
          <w:tab w:val="left" w:pos="284"/>
        </w:tabs>
        <w:spacing w:before="120" w:after="120" w:line="288" w:lineRule="auto"/>
        <w:jc w:val="both"/>
        <w:rPr>
          <w:sz w:val="10"/>
          <w:szCs w:val="10"/>
        </w:rPr>
      </w:pPr>
    </w:p>
    <w:tbl>
      <w:tblPr>
        <w:tblStyle w:val="Grilledutableau"/>
        <w:tblW w:w="0" w:type="auto"/>
        <w:tblLook w:val="04A0"/>
      </w:tblPr>
      <w:tblGrid>
        <w:gridCol w:w="3652"/>
        <w:gridCol w:w="1843"/>
        <w:gridCol w:w="1843"/>
        <w:gridCol w:w="1874"/>
      </w:tblGrid>
      <w:tr w:rsidR="00B447C6" w:rsidTr="00B447C6">
        <w:tc>
          <w:tcPr>
            <w:tcW w:w="3652" w:type="dxa"/>
            <w:vMerge w:val="restart"/>
          </w:tcPr>
          <w:p w:rsidR="00B447C6" w:rsidRDefault="00B447C6" w:rsidP="00180256">
            <w:pPr>
              <w:pStyle w:val="Paragraphedeliste"/>
              <w:tabs>
                <w:tab w:val="left" w:pos="284"/>
              </w:tabs>
              <w:spacing w:before="120" w:after="120" w:line="288" w:lineRule="auto"/>
              <w:ind w:left="0"/>
              <w:jc w:val="both"/>
              <w:rPr>
                <w:sz w:val="25"/>
                <w:szCs w:val="25"/>
              </w:rPr>
            </w:pPr>
          </w:p>
        </w:tc>
        <w:tc>
          <w:tcPr>
            <w:tcW w:w="3686" w:type="dxa"/>
            <w:gridSpan w:val="2"/>
          </w:tcPr>
          <w:p w:rsidR="00B447C6" w:rsidRPr="00B447C6" w:rsidRDefault="00B447C6" w:rsidP="00B447C6">
            <w:pPr>
              <w:pStyle w:val="Paragraphedeliste"/>
              <w:tabs>
                <w:tab w:val="left" w:pos="284"/>
              </w:tabs>
              <w:spacing w:before="120" w:after="120" w:line="288" w:lineRule="auto"/>
              <w:ind w:left="0"/>
              <w:jc w:val="both"/>
              <w:rPr>
                <w:sz w:val="10"/>
                <w:szCs w:val="10"/>
              </w:rPr>
            </w:pPr>
          </w:p>
          <w:p w:rsidR="00B447C6" w:rsidRDefault="00B447C6" w:rsidP="00B447C6">
            <w:pPr>
              <w:pStyle w:val="Paragraphedeliste"/>
              <w:tabs>
                <w:tab w:val="left" w:pos="284"/>
              </w:tabs>
              <w:spacing w:before="120" w:after="120" w:line="288" w:lineRule="auto"/>
              <w:ind w:left="0"/>
              <w:jc w:val="both"/>
              <w:rPr>
                <w:sz w:val="25"/>
                <w:szCs w:val="25"/>
              </w:rPr>
            </w:pPr>
            <w:r w:rsidRPr="00B447C6">
              <w:t xml:space="preserve">Avec obligation légale d’avoir un CAC </w:t>
            </w:r>
          </w:p>
        </w:tc>
        <w:tc>
          <w:tcPr>
            <w:tcW w:w="1874" w:type="dxa"/>
            <w:vMerge w:val="restart"/>
          </w:tcPr>
          <w:p w:rsidR="00B447C6" w:rsidRPr="00B447C6" w:rsidRDefault="00B447C6" w:rsidP="00B447C6">
            <w:pPr>
              <w:pStyle w:val="Paragraphedeliste"/>
              <w:tabs>
                <w:tab w:val="left" w:pos="284"/>
              </w:tabs>
              <w:spacing w:before="360" w:after="120" w:line="288" w:lineRule="auto"/>
              <w:ind w:left="0"/>
              <w:jc w:val="both"/>
              <w:rPr>
                <w:sz w:val="12"/>
                <w:szCs w:val="12"/>
              </w:rPr>
            </w:pPr>
          </w:p>
          <w:p w:rsidR="00B447C6" w:rsidRPr="00B447C6" w:rsidRDefault="00B447C6" w:rsidP="00B447C6">
            <w:pPr>
              <w:pStyle w:val="Paragraphedeliste"/>
              <w:tabs>
                <w:tab w:val="left" w:pos="284"/>
              </w:tabs>
              <w:spacing w:before="360" w:after="120" w:line="288" w:lineRule="auto"/>
              <w:ind w:left="0"/>
              <w:jc w:val="both"/>
              <w:rPr>
                <w:sz w:val="10"/>
                <w:szCs w:val="10"/>
              </w:rPr>
            </w:pPr>
          </w:p>
          <w:p w:rsidR="00B447C6" w:rsidRDefault="00B447C6" w:rsidP="00B447C6">
            <w:pPr>
              <w:pStyle w:val="Paragraphedeliste"/>
              <w:tabs>
                <w:tab w:val="left" w:pos="284"/>
              </w:tabs>
              <w:spacing w:before="360" w:after="120" w:line="288" w:lineRule="auto"/>
              <w:ind w:left="0"/>
              <w:jc w:val="both"/>
              <w:rPr>
                <w:sz w:val="25"/>
                <w:szCs w:val="25"/>
              </w:rPr>
            </w:pPr>
            <w:r w:rsidRPr="00B447C6">
              <w:t>Sans obligation</w:t>
            </w:r>
          </w:p>
        </w:tc>
      </w:tr>
      <w:tr w:rsidR="00B447C6" w:rsidTr="00B447C6">
        <w:tc>
          <w:tcPr>
            <w:tcW w:w="3652" w:type="dxa"/>
            <w:vMerge/>
          </w:tcPr>
          <w:p w:rsidR="00B447C6" w:rsidRDefault="00B447C6" w:rsidP="00180256">
            <w:pPr>
              <w:pStyle w:val="Paragraphedeliste"/>
              <w:tabs>
                <w:tab w:val="left" w:pos="284"/>
              </w:tabs>
              <w:spacing w:before="120" w:after="120" w:line="288" w:lineRule="auto"/>
              <w:ind w:left="0"/>
              <w:jc w:val="both"/>
              <w:rPr>
                <w:sz w:val="25"/>
                <w:szCs w:val="25"/>
              </w:rPr>
            </w:pPr>
          </w:p>
        </w:tc>
        <w:tc>
          <w:tcPr>
            <w:tcW w:w="1843" w:type="dxa"/>
          </w:tcPr>
          <w:p w:rsidR="00B447C6" w:rsidRPr="00B447C6" w:rsidRDefault="00B447C6" w:rsidP="00B447C6">
            <w:pPr>
              <w:pStyle w:val="Paragraphedeliste"/>
              <w:tabs>
                <w:tab w:val="left" w:pos="284"/>
              </w:tabs>
              <w:spacing w:before="120" w:after="120" w:line="288" w:lineRule="auto"/>
              <w:ind w:left="0"/>
              <w:jc w:val="center"/>
            </w:pPr>
            <w:r w:rsidRPr="00B447C6">
              <w:t>Avec réserve</w:t>
            </w:r>
          </w:p>
        </w:tc>
        <w:tc>
          <w:tcPr>
            <w:tcW w:w="1843" w:type="dxa"/>
          </w:tcPr>
          <w:p w:rsidR="00B447C6" w:rsidRPr="00B447C6" w:rsidRDefault="00B447C6" w:rsidP="00B447C6">
            <w:pPr>
              <w:pStyle w:val="Paragraphedeliste"/>
              <w:tabs>
                <w:tab w:val="left" w:pos="284"/>
              </w:tabs>
              <w:spacing w:before="120" w:after="120" w:line="288" w:lineRule="auto"/>
              <w:ind w:left="0"/>
              <w:jc w:val="center"/>
            </w:pPr>
            <w:r w:rsidRPr="00B447C6">
              <w:t>Sans réserve</w:t>
            </w:r>
          </w:p>
        </w:tc>
        <w:tc>
          <w:tcPr>
            <w:tcW w:w="1874" w:type="dxa"/>
            <w:vMerge/>
          </w:tcPr>
          <w:p w:rsidR="00B447C6" w:rsidRDefault="00B447C6" w:rsidP="00180256">
            <w:pPr>
              <w:pStyle w:val="Paragraphedeliste"/>
              <w:tabs>
                <w:tab w:val="left" w:pos="284"/>
              </w:tabs>
              <w:spacing w:before="120" w:after="120" w:line="288" w:lineRule="auto"/>
              <w:ind w:left="0"/>
              <w:jc w:val="both"/>
              <w:rPr>
                <w:sz w:val="25"/>
                <w:szCs w:val="25"/>
              </w:rPr>
            </w:pPr>
          </w:p>
        </w:tc>
      </w:tr>
      <w:tr w:rsidR="00B447C6" w:rsidTr="00B447C6">
        <w:tc>
          <w:tcPr>
            <w:tcW w:w="3652" w:type="dxa"/>
          </w:tcPr>
          <w:p w:rsidR="00B447C6" w:rsidRDefault="00B447C6" w:rsidP="00180256">
            <w:pPr>
              <w:pStyle w:val="Paragraphedeliste"/>
              <w:tabs>
                <w:tab w:val="left" w:pos="284"/>
              </w:tabs>
              <w:spacing w:before="120" w:after="120" w:line="288" w:lineRule="auto"/>
              <w:ind w:left="0"/>
              <w:jc w:val="both"/>
              <w:rPr>
                <w:sz w:val="25"/>
                <w:szCs w:val="25"/>
              </w:rPr>
            </w:pPr>
            <w:r>
              <w:rPr>
                <w:sz w:val="25"/>
                <w:szCs w:val="25"/>
              </w:rPr>
              <w:t>Montant de l’avance</w:t>
            </w:r>
          </w:p>
        </w:tc>
        <w:tc>
          <w:tcPr>
            <w:tcW w:w="1843" w:type="dxa"/>
          </w:tcPr>
          <w:p w:rsidR="00B447C6" w:rsidRPr="00B447C6" w:rsidRDefault="00B447C6" w:rsidP="00B447C6">
            <w:pPr>
              <w:pStyle w:val="Paragraphedeliste"/>
              <w:tabs>
                <w:tab w:val="left" w:pos="284"/>
              </w:tabs>
              <w:spacing w:before="120" w:after="120" w:line="288" w:lineRule="auto"/>
              <w:ind w:left="0"/>
              <w:jc w:val="center"/>
              <w:rPr>
                <w:sz w:val="10"/>
                <w:szCs w:val="10"/>
              </w:rPr>
            </w:pPr>
          </w:p>
          <w:p w:rsidR="00B447C6" w:rsidRDefault="00B447C6" w:rsidP="00B447C6">
            <w:pPr>
              <w:pStyle w:val="Paragraphedeliste"/>
              <w:tabs>
                <w:tab w:val="left" w:pos="284"/>
              </w:tabs>
              <w:spacing w:before="120" w:after="120" w:line="288" w:lineRule="auto"/>
              <w:ind w:left="0"/>
              <w:jc w:val="center"/>
              <w:rPr>
                <w:sz w:val="25"/>
                <w:szCs w:val="25"/>
              </w:rPr>
            </w:pPr>
            <w:r>
              <w:rPr>
                <w:sz w:val="25"/>
                <w:szCs w:val="25"/>
              </w:rPr>
              <w:t>30.000 DT</w:t>
            </w:r>
          </w:p>
        </w:tc>
        <w:tc>
          <w:tcPr>
            <w:tcW w:w="1843" w:type="dxa"/>
          </w:tcPr>
          <w:p w:rsidR="00B447C6" w:rsidRPr="00B447C6" w:rsidRDefault="00B447C6" w:rsidP="00B447C6">
            <w:pPr>
              <w:pStyle w:val="Paragraphedeliste"/>
              <w:tabs>
                <w:tab w:val="left" w:pos="284"/>
              </w:tabs>
              <w:spacing w:before="120" w:after="120" w:line="288" w:lineRule="auto"/>
              <w:ind w:left="0"/>
              <w:jc w:val="center"/>
              <w:rPr>
                <w:sz w:val="12"/>
                <w:szCs w:val="12"/>
              </w:rPr>
            </w:pPr>
          </w:p>
          <w:p w:rsidR="00B447C6" w:rsidRDefault="00B447C6" w:rsidP="00B447C6">
            <w:pPr>
              <w:pStyle w:val="Paragraphedeliste"/>
              <w:tabs>
                <w:tab w:val="left" w:pos="284"/>
              </w:tabs>
              <w:spacing w:before="120" w:after="120" w:line="288" w:lineRule="auto"/>
              <w:ind w:left="0"/>
              <w:jc w:val="center"/>
              <w:rPr>
                <w:sz w:val="25"/>
                <w:szCs w:val="25"/>
              </w:rPr>
            </w:pPr>
            <w:r>
              <w:rPr>
                <w:sz w:val="25"/>
                <w:szCs w:val="25"/>
              </w:rPr>
              <w:t>100.000 DT</w:t>
            </w:r>
          </w:p>
        </w:tc>
        <w:tc>
          <w:tcPr>
            <w:tcW w:w="1874" w:type="dxa"/>
          </w:tcPr>
          <w:p w:rsidR="00B447C6" w:rsidRPr="00B447C6" w:rsidRDefault="00B447C6" w:rsidP="00B447C6">
            <w:pPr>
              <w:pStyle w:val="Paragraphedeliste"/>
              <w:tabs>
                <w:tab w:val="left" w:pos="284"/>
              </w:tabs>
              <w:spacing w:before="120" w:after="120" w:line="288" w:lineRule="auto"/>
              <w:ind w:left="0"/>
              <w:jc w:val="center"/>
              <w:rPr>
                <w:sz w:val="12"/>
                <w:szCs w:val="12"/>
              </w:rPr>
            </w:pPr>
          </w:p>
          <w:p w:rsidR="00B447C6" w:rsidRDefault="00B447C6" w:rsidP="00B447C6">
            <w:pPr>
              <w:pStyle w:val="Paragraphedeliste"/>
              <w:tabs>
                <w:tab w:val="left" w:pos="284"/>
              </w:tabs>
              <w:spacing w:before="120" w:after="120" w:line="288" w:lineRule="auto"/>
              <w:ind w:left="0"/>
              <w:jc w:val="center"/>
              <w:rPr>
                <w:sz w:val="25"/>
                <w:szCs w:val="25"/>
              </w:rPr>
            </w:pPr>
            <w:r>
              <w:rPr>
                <w:sz w:val="25"/>
                <w:szCs w:val="25"/>
              </w:rPr>
              <w:t>30.000 DT</w:t>
            </w:r>
          </w:p>
        </w:tc>
      </w:tr>
      <w:tr w:rsidR="00B447C6" w:rsidTr="00B447C6">
        <w:trPr>
          <w:trHeight w:val="299"/>
        </w:trPr>
        <w:tc>
          <w:tcPr>
            <w:tcW w:w="9212" w:type="dxa"/>
            <w:gridSpan w:val="4"/>
            <w:shd w:val="clear" w:color="auto" w:fill="A6A6A6" w:themeFill="background1" w:themeFillShade="A6"/>
          </w:tcPr>
          <w:p w:rsidR="00B447C6" w:rsidRDefault="00B447C6" w:rsidP="00B447C6">
            <w:pPr>
              <w:pStyle w:val="Paragraphedeliste"/>
              <w:tabs>
                <w:tab w:val="left" w:pos="3525"/>
              </w:tabs>
              <w:spacing w:line="288" w:lineRule="auto"/>
              <w:ind w:left="0"/>
              <w:jc w:val="both"/>
              <w:rPr>
                <w:sz w:val="25"/>
                <w:szCs w:val="25"/>
              </w:rPr>
            </w:pPr>
            <w:r>
              <w:rPr>
                <w:sz w:val="25"/>
                <w:szCs w:val="25"/>
              </w:rPr>
              <w:tab/>
            </w:r>
          </w:p>
        </w:tc>
      </w:tr>
    </w:tbl>
    <w:p w:rsidR="00B447C6" w:rsidRDefault="00B447C6" w:rsidP="00B447C6">
      <w:pPr>
        <w:pStyle w:val="Paragraphedeliste"/>
        <w:tabs>
          <w:tab w:val="left" w:pos="284"/>
        </w:tabs>
        <w:spacing w:after="0" w:line="288" w:lineRule="auto"/>
        <w:ind w:left="0"/>
        <w:jc w:val="both"/>
        <w:rPr>
          <w:sz w:val="25"/>
          <w:szCs w:val="25"/>
        </w:rPr>
      </w:pPr>
    </w:p>
    <w:p w:rsidR="00B447C6" w:rsidRDefault="00B447C6" w:rsidP="00B447C6">
      <w:pPr>
        <w:pStyle w:val="Paragraphedeliste"/>
        <w:tabs>
          <w:tab w:val="left" w:pos="284"/>
        </w:tabs>
        <w:spacing w:after="0" w:line="288" w:lineRule="auto"/>
        <w:ind w:left="0"/>
        <w:jc w:val="both"/>
        <w:rPr>
          <w:sz w:val="25"/>
          <w:szCs w:val="25"/>
        </w:rPr>
      </w:pPr>
    </w:p>
    <w:p w:rsidR="00B447C6" w:rsidRDefault="00B447C6" w:rsidP="00B447C6">
      <w:pPr>
        <w:pStyle w:val="Paragraphedeliste"/>
        <w:tabs>
          <w:tab w:val="left" w:pos="284"/>
        </w:tabs>
        <w:spacing w:after="0" w:line="288" w:lineRule="auto"/>
        <w:ind w:left="0"/>
        <w:jc w:val="both"/>
        <w:rPr>
          <w:sz w:val="25"/>
          <w:szCs w:val="25"/>
        </w:rPr>
      </w:pPr>
    </w:p>
    <w:p w:rsidR="00B447C6" w:rsidRDefault="00B447C6" w:rsidP="00B447C6">
      <w:pPr>
        <w:tabs>
          <w:tab w:val="left" w:pos="284"/>
        </w:tabs>
        <w:spacing w:after="0" w:line="288" w:lineRule="auto"/>
        <w:jc w:val="both"/>
        <w:rPr>
          <w:sz w:val="25"/>
          <w:szCs w:val="25"/>
        </w:rPr>
      </w:pPr>
      <w:r>
        <w:rPr>
          <w:sz w:val="25"/>
          <w:szCs w:val="25"/>
        </w:rPr>
        <w:t>2-</w:t>
      </w:r>
    </w:p>
    <w:p w:rsidR="00B447C6" w:rsidRDefault="00E12DA5" w:rsidP="00B447C6">
      <w:pPr>
        <w:tabs>
          <w:tab w:val="left" w:pos="284"/>
        </w:tabs>
        <w:spacing w:after="0" w:line="288" w:lineRule="auto"/>
        <w:jc w:val="both"/>
        <w:rPr>
          <w:sz w:val="25"/>
          <w:szCs w:val="25"/>
        </w:rPr>
      </w:pPr>
      <w:r w:rsidRPr="00E12DA5">
        <w:rPr>
          <w:rFonts w:asciiTheme="majorBidi" w:hAnsiTheme="majorBidi" w:cstheme="majorBidi"/>
          <w:b/>
          <w:bCs/>
          <w:noProof/>
          <w:sz w:val="32"/>
          <w:szCs w:val="32"/>
          <w:lang w:eastAsia="fr-FR"/>
        </w:rPr>
        <w:pict>
          <v:oval id="_x0000_s1043" style="position:absolute;left:0;text-align:left;margin-left:32.65pt;margin-top:34.3pt;width:28.5pt;height:22.5pt;z-index:251674624" filled="f" fillcolor="white [3201]" strokecolor="black [3200]" strokeweight="2.5pt">
            <v:shadow color="#868686"/>
          </v:oval>
        </w:pict>
      </w:r>
      <w:r w:rsidR="00B447C6">
        <w:rPr>
          <w:sz w:val="25"/>
          <w:szCs w:val="25"/>
        </w:rPr>
        <w:t>La procédure de la vérification fiscale approfondie dont vient de faire l’objet la société « ABC » est entachée des irrégularités suivantes :</w:t>
      </w:r>
    </w:p>
    <w:p w:rsidR="00AC3B2F" w:rsidRPr="00AC3B2F" w:rsidRDefault="00AC3B2F" w:rsidP="00665AA5">
      <w:pPr>
        <w:pStyle w:val="Paragraphedeliste"/>
        <w:numPr>
          <w:ilvl w:val="0"/>
          <w:numId w:val="9"/>
        </w:numPr>
        <w:tabs>
          <w:tab w:val="left" w:pos="284"/>
        </w:tabs>
        <w:spacing w:after="0" w:line="288" w:lineRule="auto"/>
        <w:jc w:val="both"/>
        <w:rPr>
          <w:b/>
          <w:bCs/>
          <w:sz w:val="25"/>
          <w:szCs w:val="25"/>
        </w:rPr>
      </w:pPr>
      <w:r>
        <w:rPr>
          <w:sz w:val="25"/>
          <w:szCs w:val="25"/>
        </w:rPr>
        <w:t xml:space="preserve"> </w:t>
      </w:r>
      <w:r w:rsidRPr="00AC3B2F">
        <w:rPr>
          <w:b/>
          <w:bCs/>
          <w:sz w:val="32"/>
          <w:szCs w:val="32"/>
        </w:rPr>
        <w:t>1</w:t>
      </w:r>
    </w:p>
    <w:p w:rsidR="007170CC" w:rsidRDefault="00665AA5" w:rsidP="00AC3B2F">
      <w:pPr>
        <w:pStyle w:val="Paragraphedeliste"/>
        <w:tabs>
          <w:tab w:val="left" w:pos="284"/>
        </w:tabs>
        <w:spacing w:after="0" w:line="288" w:lineRule="auto"/>
        <w:jc w:val="both"/>
        <w:rPr>
          <w:sz w:val="25"/>
          <w:szCs w:val="25"/>
        </w:rPr>
      </w:pPr>
      <w:r>
        <w:rPr>
          <w:sz w:val="25"/>
          <w:szCs w:val="25"/>
        </w:rPr>
        <w:t>Non respect des dispositions de l’article 10 du CDPF relatives aux procédures de notification et notamment au niveau de la notification du résultat de la vérification par lettre recommandée alors qu’elle devrait être faite soit par Lettre Recommandée Avec Accusé de Réception (LRAAR) soit par notification directe conformément aux dispositions du Code des Procédures Civiles et Commerciales.</w:t>
      </w:r>
    </w:p>
    <w:p w:rsidR="007170CC" w:rsidRDefault="00E12DA5" w:rsidP="007170CC">
      <w:pPr>
        <w:pStyle w:val="Paragraphedeliste"/>
        <w:tabs>
          <w:tab w:val="left" w:pos="284"/>
        </w:tabs>
        <w:spacing w:after="0" w:line="288" w:lineRule="auto"/>
        <w:jc w:val="both"/>
        <w:rPr>
          <w:sz w:val="25"/>
          <w:szCs w:val="25"/>
        </w:rPr>
      </w:pPr>
      <w:r w:rsidRPr="00E12DA5">
        <w:rPr>
          <w:rFonts w:asciiTheme="majorBidi" w:hAnsiTheme="majorBidi" w:cstheme="majorBidi"/>
          <w:b/>
          <w:bCs/>
          <w:noProof/>
          <w:sz w:val="32"/>
          <w:szCs w:val="32"/>
          <w:lang w:eastAsia="fr-FR"/>
        </w:rPr>
        <w:pict>
          <v:oval id="_x0000_s1042" style="position:absolute;left:0;text-align:left;margin-left:32.65pt;margin-top:17.1pt;width:28.5pt;height:22.5pt;z-index:251673600" filled="f" fillcolor="white [3201]" strokecolor="black [3200]" strokeweight="2.5pt">
            <v:shadow color="#868686"/>
          </v:oval>
        </w:pict>
      </w:r>
    </w:p>
    <w:p w:rsidR="00AC3B2F" w:rsidRPr="00AC3B2F" w:rsidRDefault="00AC3B2F" w:rsidP="00431195">
      <w:pPr>
        <w:pStyle w:val="Paragraphedeliste"/>
        <w:numPr>
          <w:ilvl w:val="0"/>
          <w:numId w:val="9"/>
        </w:numPr>
        <w:tabs>
          <w:tab w:val="left" w:pos="284"/>
        </w:tabs>
        <w:spacing w:after="0" w:line="288" w:lineRule="auto"/>
        <w:jc w:val="both"/>
        <w:rPr>
          <w:b/>
          <w:bCs/>
          <w:sz w:val="25"/>
          <w:szCs w:val="25"/>
        </w:rPr>
      </w:pPr>
      <w:r>
        <w:rPr>
          <w:sz w:val="25"/>
          <w:szCs w:val="25"/>
        </w:rPr>
        <w:t xml:space="preserve"> </w:t>
      </w:r>
      <w:r w:rsidRPr="00AC3B2F">
        <w:rPr>
          <w:b/>
          <w:bCs/>
          <w:sz w:val="32"/>
          <w:szCs w:val="32"/>
        </w:rPr>
        <w:t>1</w:t>
      </w:r>
    </w:p>
    <w:p w:rsidR="00431195" w:rsidRDefault="007170CC" w:rsidP="00AC3B2F">
      <w:pPr>
        <w:pStyle w:val="Paragraphedeliste"/>
        <w:tabs>
          <w:tab w:val="left" w:pos="284"/>
        </w:tabs>
        <w:spacing w:after="0" w:line="288" w:lineRule="auto"/>
        <w:jc w:val="both"/>
        <w:rPr>
          <w:sz w:val="25"/>
          <w:szCs w:val="25"/>
        </w:rPr>
      </w:pPr>
      <w:r>
        <w:rPr>
          <w:sz w:val="25"/>
          <w:szCs w:val="25"/>
        </w:rPr>
        <w:t>En application des dispositions de l’article 43 du CDPF, le résultat de</w:t>
      </w:r>
      <w:r w:rsidR="00431195">
        <w:rPr>
          <w:sz w:val="25"/>
          <w:szCs w:val="25"/>
        </w:rPr>
        <w:t xml:space="preserve"> la vérification doit comporter notamment :</w:t>
      </w:r>
    </w:p>
    <w:p w:rsidR="00431195" w:rsidRDefault="00431195" w:rsidP="00431195">
      <w:pPr>
        <w:pStyle w:val="Paragraphedeliste"/>
        <w:numPr>
          <w:ilvl w:val="0"/>
          <w:numId w:val="2"/>
        </w:numPr>
        <w:tabs>
          <w:tab w:val="left" w:pos="284"/>
        </w:tabs>
        <w:spacing w:after="0" w:line="288" w:lineRule="auto"/>
        <w:jc w:val="both"/>
        <w:rPr>
          <w:sz w:val="25"/>
          <w:szCs w:val="25"/>
        </w:rPr>
      </w:pPr>
      <w:r>
        <w:rPr>
          <w:sz w:val="25"/>
          <w:szCs w:val="25"/>
        </w:rPr>
        <w:t>La nature de la vérification fiscale dont a fait l’objet le contribuable</w:t>
      </w:r>
    </w:p>
    <w:p w:rsidR="00431195" w:rsidRDefault="00431195" w:rsidP="00431195">
      <w:pPr>
        <w:pStyle w:val="Paragraphedeliste"/>
        <w:numPr>
          <w:ilvl w:val="0"/>
          <w:numId w:val="2"/>
        </w:numPr>
        <w:tabs>
          <w:tab w:val="left" w:pos="284"/>
        </w:tabs>
        <w:spacing w:after="0" w:line="288" w:lineRule="auto"/>
        <w:jc w:val="both"/>
        <w:rPr>
          <w:sz w:val="25"/>
          <w:szCs w:val="25"/>
        </w:rPr>
      </w:pPr>
      <w:r>
        <w:rPr>
          <w:sz w:val="25"/>
          <w:szCs w:val="25"/>
        </w:rPr>
        <w:t>Les chefs de redressement et la méthode retenue pour l’établissement des nouvelles bases d’imposition</w:t>
      </w:r>
    </w:p>
    <w:p w:rsidR="00210490" w:rsidRDefault="00431195" w:rsidP="00431195">
      <w:pPr>
        <w:pStyle w:val="Paragraphedeliste"/>
        <w:numPr>
          <w:ilvl w:val="0"/>
          <w:numId w:val="2"/>
        </w:numPr>
        <w:tabs>
          <w:tab w:val="left" w:pos="284"/>
        </w:tabs>
        <w:spacing w:after="0" w:line="288" w:lineRule="auto"/>
        <w:jc w:val="both"/>
        <w:rPr>
          <w:sz w:val="25"/>
          <w:szCs w:val="25"/>
        </w:rPr>
      </w:pPr>
      <w:r>
        <w:rPr>
          <w:sz w:val="25"/>
          <w:szCs w:val="25"/>
        </w:rPr>
        <w:t xml:space="preserve">Le montant de l’impôt exigible ou </w:t>
      </w:r>
      <w:r w:rsidR="00210490">
        <w:rPr>
          <w:sz w:val="25"/>
          <w:szCs w:val="25"/>
        </w:rPr>
        <w:t>les rectifications du crédit d’impôt, du report déficitaire et des amortissements régulièrement différés ;</w:t>
      </w:r>
    </w:p>
    <w:p w:rsidR="00210490" w:rsidRDefault="00210490" w:rsidP="00431195">
      <w:pPr>
        <w:pStyle w:val="Paragraphedeliste"/>
        <w:numPr>
          <w:ilvl w:val="0"/>
          <w:numId w:val="2"/>
        </w:numPr>
        <w:tabs>
          <w:tab w:val="left" w:pos="284"/>
        </w:tabs>
        <w:spacing w:after="0" w:line="288" w:lineRule="auto"/>
        <w:jc w:val="both"/>
        <w:rPr>
          <w:sz w:val="25"/>
          <w:szCs w:val="25"/>
        </w:rPr>
      </w:pPr>
      <w:r>
        <w:rPr>
          <w:sz w:val="25"/>
          <w:szCs w:val="25"/>
        </w:rPr>
        <w:t>Les pénalités exigibles</w:t>
      </w:r>
    </w:p>
    <w:p w:rsidR="00586B26" w:rsidRDefault="00210490" w:rsidP="00431195">
      <w:pPr>
        <w:pStyle w:val="Paragraphedeliste"/>
        <w:numPr>
          <w:ilvl w:val="0"/>
          <w:numId w:val="2"/>
        </w:numPr>
        <w:tabs>
          <w:tab w:val="left" w:pos="284"/>
        </w:tabs>
        <w:spacing w:after="0" w:line="288" w:lineRule="auto"/>
        <w:jc w:val="both"/>
        <w:rPr>
          <w:sz w:val="25"/>
          <w:szCs w:val="25"/>
        </w:rPr>
      </w:pPr>
      <w:r>
        <w:rPr>
          <w:sz w:val="25"/>
          <w:szCs w:val="25"/>
        </w:rPr>
        <w:t>L’invitation du contribuable à formuler ses observations, oppositions et réserves relatives aux résultats de la vérification</w:t>
      </w:r>
      <w:r w:rsidR="00586B26">
        <w:rPr>
          <w:sz w:val="25"/>
          <w:szCs w:val="25"/>
        </w:rPr>
        <w:t>, dans un délai de trente jours à compter de la date de la notification.</w:t>
      </w:r>
    </w:p>
    <w:p w:rsidR="00B447C6" w:rsidRPr="00586B26" w:rsidRDefault="00586B26" w:rsidP="00586B26">
      <w:pPr>
        <w:tabs>
          <w:tab w:val="left" w:pos="284"/>
        </w:tabs>
        <w:spacing w:after="0" w:line="288" w:lineRule="auto"/>
        <w:ind w:left="720"/>
        <w:jc w:val="both"/>
        <w:rPr>
          <w:sz w:val="25"/>
          <w:szCs w:val="25"/>
        </w:rPr>
      </w:pPr>
      <w:r>
        <w:rPr>
          <w:sz w:val="25"/>
          <w:szCs w:val="25"/>
        </w:rPr>
        <w:t xml:space="preserve">Or, le résultat notifié à la société « ABC » en date du 25/11/2013 n’a comporté que le chef de redressement ayant pour effet de ramener le crédit de la TVA à 25.000 DT. Le résultat de la vérification ne semble comporter aucune indication concernant la méthode retenue pour l’établissement des nouvelles bases d’imposition ni l’invitation de la société « ABC » à formuler ses observations.  </w:t>
      </w:r>
      <w:r w:rsidR="007170CC" w:rsidRPr="00586B26">
        <w:rPr>
          <w:sz w:val="25"/>
          <w:szCs w:val="25"/>
        </w:rPr>
        <w:t xml:space="preserve">  </w:t>
      </w:r>
      <w:r w:rsidR="00665AA5" w:rsidRPr="00586B26">
        <w:rPr>
          <w:sz w:val="25"/>
          <w:szCs w:val="25"/>
        </w:rPr>
        <w:t xml:space="preserve"> </w:t>
      </w:r>
    </w:p>
    <w:sectPr w:rsidR="00B447C6" w:rsidRPr="00586B26" w:rsidSect="004D78A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66F" w:rsidRDefault="006F366F" w:rsidP="00555001">
      <w:pPr>
        <w:spacing w:after="0" w:line="240" w:lineRule="auto"/>
      </w:pPr>
      <w:r>
        <w:separator/>
      </w:r>
    </w:p>
  </w:endnote>
  <w:endnote w:type="continuationSeparator" w:id="1">
    <w:p w:rsidR="006F366F" w:rsidRDefault="006F366F" w:rsidP="00555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66F" w:rsidRDefault="006F366F" w:rsidP="00555001">
      <w:pPr>
        <w:spacing w:after="0" w:line="240" w:lineRule="auto"/>
      </w:pPr>
      <w:r>
        <w:separator/>
      </w:r>
    </w:p>
  </w:footnote>
  <w:footnote w:type="continuationSeparator" w:id="1">
    <w:p w:rsidR="006F366F" w:rsidRDefault="006F366F" w:rsidP="00555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59"/>
      <w:docPartObj>
        <w:docPartGallery w:val="Page Numbers (Margins)"/>
        <w:docPartUnique/>
      </w:docPartObj>
    </w:sdtPr>
    <w:sdtContent>
      <w:p w:rsidR="00555001" w:rsidRDefault="00E12DA5">
        <w:pPr>
          <w:pStyle w:val="En-tt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5121"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5121" inset=",0,,0">
                <w:txbxContent>
                  <w:p w:rsidR="00555001" w:rsidRDefault="00E12DA5">
                    <w:pPr>
                      <w:pStyle w:val="Pieddepage"/>
                      <w:jc w:val="center"/>
                      <w:rPr>
                        <w:color w:val="FFFFFF" w:themeColor="background1"/>
                      </w:rPr>
                    </w:pPr>
                    <w:fldSimple w:instr=" PAGE   \* MERGEFORMAT ">
                      <w:r w:rsidR="00843065" w:rsidRPr="00843065">
                        <w:rPr>
                          <w:noProof/>
                          <w:color w:val="FFFFFF" w:themeColor="background1"/>
                        </w:rPr>
                        <w:t>1</w:t>
                      </w:r>
                    </w:fldSimple>
                  </w:p>
                  <w:p w:rsidR="00555001" w:rsidRDefault="00555001"/>
                </w:txbxContent>
              </v:textbox>
              <w10:wrap anchorx="page"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4AF"/>
    <w:multiLevelType w:val="hybridMultilevel"/>
    <w:tmpl w:val="0172D7E6"/>
    <w:lvl w:ilvl="0" w:tplc="B9D49D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151799"/>
    <w:multiLevelType w:val="hybridMultilevel"/>
    <w:tmpl w:val="504263B6"/>
    <w:lvl w:ilvl="0" w:tplc="F0C086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265C23"/>
    <w:multiLevelType w:val="hybridMultilevel"/>
    <w:tmpl w:val="BD086F30"/>
    <w:lvl w:ilvl="0" w:tplc="E4682FD8">
      <w:start w:val="4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9C1172"/>
    <w:multiLevelType w:val="hybridMultilevel"/>
    <w:tmpl w:val="A0CC42BE"/>
    <w:lvl w:ilvl="0" w:tplc="017EBAFA">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E65588B"/>
    <w:multiLevelType w:val="hybridMultilevel"/>
    <w:tmpl w:val="E10C107E"/>
    <w:lvl w:ilvl="0" w:tplc="75443E92">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03F69F3"/>
    <w:multiLevelType w:val="hybridMultilevel"/>
    <w:tmpl w:val="7DD4CADC"/>
    <w:lvl w:ilvl="0" w:tplc="C76C38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770143"/>
    <w:multiLevelType w:val="hybridMultilevel"/>
    <w:tmpl w:val="E8BC318E"/>
    <w:lvl w:ilvl="0" w:tplc="866A37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3560829"/>
    <w:multiLevelType w:val="hybridMultilevel"/>
    <w:tmpl w:val="D0DE71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232399"/>
    <w:multiLevelType w:val="hybridMultilevel"/>
    <w:tmpl w:val="114E367E"/>
    <w:lvl w:ilvl="0" w:tplc="E0C6D078">
      <w:start w:val="1"/>
      <w:numFmt w:val="decimal"/>
      <w:lvlText w:val="%1)"/>
      <w:lvlJc w:val="left"/>
      <w:pPr>
        <w:ind w:left="720" w:hanging="360"/>
      </w:pPr>
      <w:rPr>
        <w:rFonts w:ascii="Magneto" w:hAnsi="Magneto"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4"/>
  </w:num>
  <w:num w:numId="6">
    <w:abstractNumId w:val="2"/>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o:colormenu v:ext="edit" fillcolor="none"/>
    </o:shapedefaults>
    <o:shapelayout v:ext="edit">
      <o:idmap v:ext="edit" data="5"/>
    </o:shapelayout>
  </w:hdrShapeDefaults>
  <w:footnotePr>
    <w:footnote w:id="0"/>
    <w:footnote w:id="1"/>
  </w:footnotePr>
  <w:endnotePr>
    <w:endnote w:id="0"/>
    <w:endnote w:id="1"/>
  </w:endnotePr>
  <w:compat/>
  <w:rsids>
    <w:rsidRoot w:val="00FD73E4"/>
    <w:rsid w:val="00022F79"/>
    <w:rsid w:val="00024F1B"/>
    <w:rsid w:val="00030597"/>
    <w:rsid w:val="00104C44"/>
    <w:rsid w:val="001115FF"/>
    <w:rsid w:val="00113014"/>
    <w:rsid w:val="001271F8"/>
    <w:rsid w:val="00136C90"/>
    <w:rsid w:val="00180256"/>
    <w:rsid w:val="001D53C8"/>
    <w:rsid w:val="00210490"/>
    <w:rsid w:val="00252923"/>
    <w:rsid w:val="002A167D"/>
    <w:rsid w:val="002F2684"/>
    <w:rsid w:val="00306C93"/>
    <w:rsid w:val="003209FC"/>
    <w:rsid w:val="003653F3"/>
    <w:rsid w:val="003A1DD2"/>
    <w:rsid w:val="00426FB0"/>
    <w:rsid w:val="00431195"/>
    <w:rsid w:val="00437FB6"/>
    <w:rsid w:val="00463C0E"/>
    <w:rsid w:val="004B0D5E"/>
    <w:rsid w:val="004D78AC"/>
    <w:rsid w:val="004E6376"/>
    <w:rsid w:val="00502710"/>
    <w:rsid w:val="0050414C"/>
    <w:rsid w:val="005206F5"/>
    <w:rsid w:val="005411F4"/>
    <w:rsid w:val="00555001"/>
    <w:rsid w:val="00586B26"/>
    <w:rsid w:val="005C6E2F"/>
    <w:rsid w:val="005D3157"/>
    <w:rsid w:val="00665AA5"/>
    <w:rsid w:val="006E5F20"/>
    <w:rsid w:val="006F366F"/>
    <w:rsid w:val="00714B2B"/>
    <w:rsid w:val="007170CC"/>
    <w:rsid w:val="007C7E7E"/>
    <w:rsid w:val="00822C31"/>
    <w:rsid w:val="00843065"/>
    <w:rsid w:val="008950BD"/>
    <w:rsid w:val="008B29A9"/>
    <w:rsid w:val="00937983"/>
    <w:rsid w:val="00964905"/>
    <w:rsid w:val="00972D0B"/>
    <w:rsid w:val="00994757"/>
    <w:rsid w:val="00A058F1"/>
    <w:rsid w:val="00A42C43"/>
    <w:rsid w:val="00A446CF"/>
    <w:rsid w:val="00A7277F"/>
    <w:rsid w:val="00AC3B2F"/>
    <w:rsid w:val="00B0214F"/>
    <w:rsid w:val="00B25D36"/>
    <w:rsid w:val="00B447C6"/>
    <w:rsid w:val="00B51F73"/>
    <w:rsid w:val="00B83EB3"/>
    <w:rsid w:val="00C067F3"/>
    <w:rsid w:val="00C10AE5"/>
    <w:rsid w:val="00CA3780"/>
    <w:rsid w:val="00CC3F76"/>
    <w:rsid w:val="00D34E80"/>
    <w:rsid w:val="00D97F4E"/>
    <w:rsid w:val="00DD5476"/>
    <w:rsid w:val="00DF7109"/>
    <w:rsid w:val="00E02266"/>
    <w:rsid w:val="00E12DA5"/>
    <w:rsid w:val="00E15771"/>
    <w:rsid w:val="00E40336"/>
    <w:rsid w:val="00E74792"/>
    <w:rsid w:val="00EA654F"/>
    <w:rsid w:val="00EF30CD"/>
    <w:rsid w:val="00F90011"/>
    <w:rsid w:val="00F94D05"/>
    <w:rsid w:val="00FB7469"/>
    <w:rsid w:val="00FD73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E4"/>
  </w:style>
  <w:style w:type="paragraph" w:styleId="Titre3">
    <w:name w:val="heading 3"/>
    <w:basedOn w:val="Normal"/>
    <w:next w:val="Normal"/>
    <w:link w:val="Titre3Car"/>
    <w:unhideWhenUsed/>
    <w:qFormat/>
    <w:rsid w:val="00FD73E4"/>
    <w:pPr>
      <w:keepNext/>
      <w:spacing w:before="240" w:after="60"/>
      <w:outlineLvl w:val="2"/>
    </w:pPr>
    <w:rPr>
      <w:rFonts w:ascii="Arial" w:eastAsia="Times New Roman" w:hAnsi="Arial" w:cs="Arial"/>
      <w:b/>
      <w:bCs/>
      <w:sz w:val="26"/>
      <w:szCs w:val="26"/>
    </w:rPr>
  </w:style>
  <w:style w:type="paragraph" w:styleId="Titre5">
    <w:name w:val="heading 5"/>
    <w:basedOn w:val="Normal"/>
    <w:next w:val="Normal"/>
    <w:link w:val="Titre5Car"/>
    <w:semiHidden/>
    <w:unhideWhenUsed/>
    <w:qFormat/>
    <w:rsid w:val="00FD73E4"/>
    <w:pPr>
      <w:spacing w:before="240" w:after="60"/>
      <w:outlineLvl w:val="4"/>
    </w:pPr>
    <w:rPr>
      <w:rFonts w:ascii="Calibri" w:eastAsia="Times New Roman"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FD73E4"/>
    <w:rPr>
      <w:rFonts w:ascii="Arial" w:eastAsia="Times New Roman" w:hAnsi="Arial" w:cs="Arial"/>
      <w:b/>
      <w:bCs/>
      <w:sz w:val="26"/>
      <w:szCs w:val="26"/>
    </w:rPr>
  </w:style>
  <w:style w:type="character" w:customStyle="1" w:styleId="Titre5Car">
    <w:name w:val="Titre 5 Car"/>
    <w:basedOn w:val="Policepardfaut"/>
    <w:link w:val="Titre5"/>
    <w:semiHidden/>
    <w:rsid w:val="00FD73E4"/>
    <w:rPr>
      <w:rFonts w:ascii="Calibri" w:eastAsia="Times New Roman" w:hAnsi="Calibri" w:cs="Times New Roman"/>
      <w:b/>
      <w:bCs/>
      <w:i/>
      <w:iCs/>
      <w:sz w:val="26"/>
      <w:szCs w:val="26"/>
    </w:rPr>
  </w:style>
  <w:style w:type="paragraph" w:styleId="Paragraphedeliste">
    <w:name w:val="List Paragraph"/>
    <w:basedOn w:val="Normal"/>
    <w:uiPriority w:val="34"/>
    <w:qFormat/>
    <w:rsid w:val="00FD73E4"/>
    <w:pPr>
      <w:ind w:left="720"/>
      <w:contextualSpacing/>
    </w:pPr>
  </w:style>
  <w:style w:type="table" w:styleId="Grilledutableau">
    <w:name w:val="Table Grid"/>
    <w:basedOn w:val="TableauNormal"/>
    <w:uiPriority w:val="59"/>
    <w:rsid w:val="00B25D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A1D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DD2"/>
    <w:rPr>
      <w:rFonts w:ascii="Tahoma" w:hAnsi="Tahoma" w:cs="Tahoma"/>
      <w:sz w:val="16"/>
      <w:szCs w:val="16"/>
    </w:rPr>
  </w:style>
  <w:style w:type="paragraph" w:styleId="En-tte">
    <w:name w:val="header"/>
    <w:basedOn w:val="Normal"/>
    <w:link w:val="En-tteCar"/>
    <w:uiPriority w:val="99"/>
    <w:semiHidden/>
    <w:unhideWhenUsed/>
    <w:rsid w:val="005550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55001"/>
  </w:style>
  <w:style w:type="paragraph" w:styleId="Pieddepage">
    <w:name w:val="footer"/>
    <w:basedOn w:val="Normal"/>
    <w:link w:val="PieddepageCar"/>
    <w:uiPriority w:val="99"/>
    <w:unhideWhenUsed/>
    <w:rsid w:val="005550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001"/>
  </w:style>
</w:styles>
</file>

<file path=word/webSettings.xml><?xml version="1.0" encoding="utf-8"?>
<w:webSettings xmlns:r="http://schemas.openxmlformats.org/officeDocument/2006/relationships" xmlns:w="http://schemas.openxmlformats.org/wordprocessingml/2006/main">
  <w:divs>
    <w:div w:id="6339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D80E-C2FB-4DF9-880E-ED34A1B7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2286</Words>
  <Characters>12574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faycal.derbel</dc:creator>
  <cp:lastModifiedBy>faycal.derbel</cp:lastModifiedBy>
  <cp:revision>21</cp:revision>
  <cp:lastPrinted>2013-12-25T17:54:00Z</cp:lastPrinted>
  <dcterms:created xsi:type="dcterms:W3CDTF">2013-12-02T11:27:00Z</dcterms:created>
  <dcterms:modified xsi:type="dcterms:W3CDTF">2014-02-12T07:59:00Z</dcterms:modified>
</cp:coreProperties>
</file>