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12" w:rsidRDefault="00333E12" w:rsidP="00333E12">
      <w:r w:rsidRPr="00333E1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1897322</wp:posOffset>
            </wp:positionH>
            <wp:positionV relativeFrom="paragraph">
              <wp:align>top</wp:align>
            </wp:positionV>
            <wp:extent cx="1520932" cy="1520041"/>
            <wp:effectExtent l="19050" t="0" r="3068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2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456EE" w:rsidRDefault="001456EE" w:rsidP="000113B3">
      <w:pPr>
        <w:spacing w:after="0"/>
        <w:jc w:val="center"/>
        <w:rPr>
          <w:b/>
          <w:bCs/>
          <w:sz w:val="48"/>
          <w:szCs w:val="48"/>
        </w:rPr>
      </w:pPr>
    </w:p>
    <w:p w:rsidR="00B7263F" w:rsidRPr="000113B3" w:rsidRDefault="000113B3" w:rsidP="000113B3">
      <w:pPr>
        <w:spacing w:after="0"/>
        <w:jc w:val="center"/>
        <w:rPr>
          <w:b/>
          <w:bCs/>
          <w:sz w:val="48"/>
          <w:szCs w:val="48"/>
        </w:rPr>
      </w:pPr>
      <w:r w:rsidRPr="000113B3">
        <w:rPr>
          <w:b/>
          <w:bCs/>
          <w:sz w:val="48"/>
          <w:szCs w:val="48"/>
        </w:rPr>
        <w:t xml:space="preserve">DEUXIÈME ANNÉE </w:t>
      </w:r>
      <w:r w:rsidR="00B7263F" w:rsidRPr="000113B3">
        <w:rPr>
          <w:b/>
          <w:bCs/>
          <w:sz w:val="48"/>
          <w:szCs w:val="48"/>
        </w:rPr>
        <w:t xml:space="preserve">MASTER PRÉPARATOIRE </w:t>
      </w:r>
      <w:r w:rsidR="00A862A7" w:rsidRPr="000113B3">
        <w:rPr>
          <w:b/>
          <w:bCs/>
          <w:sz w:val="48"/>
          <w:szCs w:val="48"/>
        </w:rPr>
        <w:t xml:space="preserve">EN </w:t>
      </w:r>
      <w:r w:rsidR="00B7263F" w:rsidRPr="000113B3">
        <w:rPr>
          <w:b/>
          <w:bCs/>
          <w:sz w:val="48"/>
          <w:szCs w:val="48"/>
        </w:rPr>
        <w:t xml:space="preserve">RÉVISION COMPTABLE </w:t>
      </w:r>
    </w:p>
    <w:p w:rsidR="00B7263F" w:rsidRPr="00475F43" w:rsidRDefault="00B7263F" w:rsidP="000113B3">
      <w:pPr>
        <w:spacing w:after="0"/>
        <w:jc w:val="center"/>
        <w:rPr>
          <w:b/>
          <w:bCs/>
          <w:sz w:val="28"/>
          <w:szCs w:val="28"/>
        </w:rPr>
      </w:pPr>
      <w:r w:rsidRPr="00475F43">
        <w:rPr>
          <w:b/>
          <w:bCs/>
          <w:sz w:val="28"/>
          <w:szCs w:val="28"/>
        </w:rPr>
        <w:t xml:space="preserve">SESSION </w:t>
      </w:r>
      <w:r w:rsidR="000113B3">
        <w:rPr>
          <w:b/>
          <w:bCs/>
          <w:sz w:val="28"/>
          <w:szCs w:val="28"/>
        </w:rPr>
        <w:t>PRINCIPALE : LE 09 JANVIER 2014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6007C2" w:rsidRDefault="006007C2" w:rsidP="00735CAB">
      <w:pPr>
        <w:jc w:val="center"/>
        <w:rPr>
          <w:b/>
          <w:bCs/>
          <w:sz w:val="24"/>
          <w:szCs w:val="24"/>
        </w:rPr>
      </w:pPr>
    </w:p>
    <w:p w:rsidR="00735CAB" w:rsidRDefault="00B04796" w:rsidP="00735CAB">
      <w:pPr>
        <w:jc w:val="center"/>
        <w:rPr>
          <w:b/>
          <w:bCs/>
          <w:sz w:val="24"/>
          <w:szCs w:val="24"/>
        </w:rPr>
      </w:pPr>
      <w:r w:rsidRPr="00B04796">
        <w:rPr>
          <w:b/>
          <w:bCs/>
          <w:noProof/>
          <w:sz w:val="44"/>
          <w:szCs w:val="44"/>
          <w:lang w:eastAsia="fr-FR"/>
        </w:rPr>
        <w:pict>
          <v:roundrect id="_x0000_s1026" style="position:absolute;left:0;text-align:left;margin-left:-5.4pt;margin-top:8.65pt;width:441.35pt;height:119.7pt;flip:y;z-index:251658240" arcsize="10923f">
            <v:textbox style="mso-next-textbox:#_x0000_s1026">
              <w:txbxContent>
                <w:p w:rsidR="00C02537" w:rsidRPr="00475F43" w:rsidRDefault="006007C2" w:rsidP="00735CAB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PROPOSITION DE CORRECTION DE L’</w:t>
                  </w:r>
                  <w:r w:rsidR="00C02537" w:rsidRPr="00475F43">
                    <w:rPr>
                      <w:b/>
                      <w:bCs/>
                      <w:sz w:val="48"/>
                      <w:szCs w:val="48"/>
                    </w:rPr>
                    <w:t>EXAMEN DE FISCALITÉ INTERNATIONALE</w:t>
                  </w:r>
                </w:p>
                <w:p w:rsidR="00C02537" w:rsidRPr="000113B3" w:rsidRDefault="00C02537" w:rsidP="00735CA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113B3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Durée : 2 heures</w:t>
                  </w:r>
                </w:p>
              </w:txbxContent>
            </v:textbox>
          </v:roundrect>
        </w:pict>
      </w:r>
    </w:p>
    <w:p w:rsidR="00B7263F" w:rsidRDefault="00B7263F" w:rsidP="00735CAB">
      <w:pPr>
        <w:jc w:val="center"/>
        <w:rPr>
          <w:b/>
          <w:bCs/>
          <w:sz w:val="44"/>
          <w:szCs w:val="44"/>
        </w:rPr>
      </w:pPr>
    </w:p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D4697" w:rsidRPr="002D4697" w:rsidTr="002D469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C2" w:rsidRDefault="006007C2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  <w:p w:rsidR="001456EE" w:rsidRDefault="001456EE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  <w:p w:rsidR="001456EE" w:rsidRDefault="001456EE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  <w:p w:rsidR="001456EE" w:rsidRDefault="001456EE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  <w:p w:rsidR="001456EE" w:rsidRDefault="001456EE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  <w:p w:rsidR="002D4697" w:rsidRPr="002D4697" w:rsidRDefault="002D4697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Le sujet se présente sous la forme de</w:t>
            </w:r>
            <w:r w:rsidR="006E63C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deux </w:t>
            </w: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  <w:r w:rsidR="00994331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dossiers</w:t>
            </w: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  <w:r w:rsidR="006E63C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indépendant</w:t>
            </w: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s :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063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="00B23E9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Dossier 1</w:t>
            </w:r>
            <w:r w:rsidR="006E63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:                                                        </w:t>
            </w:r>
            <w:r w:rsidR="00063B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063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B23E9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Dossier 2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:                                     </w:t>
            </w:r>
            <w:r w:rsidR="00063B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</w:t>
            </w:r>
            <w:r w:rsidR="009943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 w:rsidR="00063B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6E63C5" w:rsidRPr="002D4697" w:rsidRDefault="006E63C5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2D4697" w:rsidRDefault="002D4697" w:rsidP="002D4697">
      <w:pPr>
        <w:ind w:left="360"/>
        <w:rPr>
          <w:i/>
          <w:iCs/>
          <w:sz w:val="24"/>
          <w:szCs w:val="24"/>
        </w:rPr>
      </w:pPr>
    </w:p>
    <w:p w:rsidR="006007C2" w:rsidRDefault="006007C2" w:rsidP="002D4697">
      <w:pPr>
        <w:ind w:left="360"/>
        <w:rPr>
          <w:i/>
          <w:iCs/>
          <w:sz w:val="24"/>
          <w:szCs w:val="24"/>
        </w:rPr>
      </w:pPr>
    </w:p>
    <w:p w:rsidR="006007C2" w:rsidRDefault="006007C2" w:rsidP="002D4697">
      <w:pPr>
        <w:ind w:left="360"/>
        <w:rPr>
          <w:i/>
          <w:iCs/>
          <w:sz w:val="24"/>
          <w:szCs w:val="24"/>
        </w:rPr>
      </w:pPr>
    </w:p>
    <w:p w:rsidR="006007C2" w:rsidRDefault="006007C2" w:rsidP="002D4697">
      <w:pPr>
        <w:ind w:left="360"/>
        <w:rPr>
          <w:i/>
          <w:iCs/>
          <w:sz w:val="24"/>
          <w:szCs w:val="24"/>
        </w:rPr>
      </w:pPr>
    </w:p>
    <w:p w:rsidR="006007C2" w:rsidRDefault="006007C2" w:rsidP="002D4697">
      <w:pPr>
        <w:ind w:left="360"/>
        <w:rPr>
          <w:i/>
          <w:iCs/>
          <w:sz w:val="24"/>
          <w:szCs w:val="24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2033"/>
      </w:tblGrid>
      <w:tr w:rsidR="00160BB4" w:rsidRPr="00160BB4" w:rsidTr="00202494">
        <w:trPr>
          <w:trHeight w:val="402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B23E94" w:rsidP="00354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DOSSIER 1</w:t>
            </w:r>
            <w:r w:rsidR="00160BB4"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(</w:t>
            </w:r>
            <w:r w:rsidR="00354A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  <w:r w:rsidR="00160BB4"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160BB4" w:rsidRPr="00160BB4" w:rsidTr="00202494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5611" w:rsidRPr="00095611" w:rsidTr="00202494">
        <w:trPr>
          <w:trHeight w:val="402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C5" w:rsidRDefault="006E63C5" w:rsidP="0036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007C2" w:rsidRDefault="006007C2" w:rsidP="006007C2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90759">
              <w:rPr>
                <w:rFonts w:asciiTheme="majorHAnsi" w:hAnsiTheme="majorHAnsi"/>
                <w:b/>
                <w:bCs/>
                <w:sz w:val="24"/>
                <w:szCs w:val="24"/>
              </w:rPr>
              <w:t>Note sur le régime fiscal du marché conclu entre la société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«ABC»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07C2">
              <w:rPr>
                <w:rFonts w:asciiTheme="majorHAnsi" w:hAnsiTheme="majorHAnsi"/>
                <w:b/>
                <w:bCs/>
                <w:sz w:val="24"/>
                <w:szCs w:val="24"/>
              </w:rPr>
              <w:t>et de toutes les opérations accomplies par chacun des intervenants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6007C2" w:rsidRDefault="006007C2" w:rsidP="006007C2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A043A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A - Régime d'imposition d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u bureau japonais</w:t>
            </w:r>
          </w:p>
          <w:p w:rsidR="00892C62" w:rsidRPr="00FD764D" w:rsidRDefault="00892C62" w:rsidP="00C0728F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FB492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En matière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des droits </w:t>
            </w:r>
            <w:r w:rsid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d’enregistrement</w:t>
            </w:r>
            <w:r w:rsidR="00FD764D"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0 point</w:t>
            </w:r>
            <w:r w:rsidR="00FD764D"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892C62" w:rsidRDefault="00892C62" w:rsidP="00C575F3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convention pour l’étude de faisabilité d</w:t>
            </w:r>
            <w:r w:rsidR="00C575F3">
              <w:rPr>
                <w:rFonts w:asciiTheme="majorHAnsi" w:hAnsiTheme="majorHAnsi"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projet industrielle conclue avec un</w:t>
            </w:r>
            <w:r w:rsidR="00C575F3">
              <w:rPr>
                <w:rFonts w:asciiTheme="majorHAnsi" w:hAnsiTheme="majorHAnsi"/>
                <w:sz w:val="24"/>
                <w:szCs w:val="24"/>
              </w:rPr>
              <w:t xml:space="preserve"> bureau Japonais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est qualifiée comme marché</w:t>
            </w:r>
            <w:r w:rsidR="00C575F3">
              <w:rPr>
                <w:rFonts w:asciiTheme="majorHAnsi" w:hAnsiTheme="majorHAnsi"/>
                <w:sz w:val="24"/>
                <w:szCs w:val="24"/>
              </w:rPr>
              <w:t xml:space="preserve">. Malgré que le contrat en question a été conclu à Paris et l’étude sera réalisée à Tokyo, il sera passible d’un droit d’enregistrement à Tunis puisque la réalisation du projet sera a Tunis. Le dit  contrat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est soumis </w:t>
            </w:r>
            <w:r w:rsidR="00C575F3">
              <w:rPr>
                <w:rFonts w:asciiTheme="majorHAnsi" w:hAnsiTheme="majorHAnsi"/>
                <w:sz w:val="24"/>
                <w:szCs w:val="24"/>
              </w:rPr>
              <w:t xml:space="preserve">à l’enregistrement </w:t>
            </w:r>
            <w:r>
              <w:rPr>
                <w:rFonts w:asciiTheme="majorHAnsi" w:hAnsiTheme="majorHAnsi"/>
                <w:sz w:val="24"/>
                <w:szCs w:val="24"/>
              </w:rPr>
              <w:t>au droit fixe de 20 TND par page et par copie d’acte, avec un maximum de 2%, et ce quelque soit le lieu de sa conclusion.</w:t>
            </w:r>
          </w:p>
          <w:p w:rsidR="00892C62" w:rsidRDefault="00892C62" w:rsidP="00892C62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303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Remarque 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D303B">
              <w:rPr>
                <w:rFonts w:asciiTheme="majorHAnsi" w:hAnsiTheme="majorHAnsi"/>
                <w:sz w:val="24"/>
                <w:szCs w:val="24"/>
              </w:rPr>
              <w:t xml:space="preserve">D’après les articles 50 et 51 de la loi de finances pour </w:t>
            </w:r>
            <w:r w:rsidRPr="00BD303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2013</w:t>
            </w:r>
            <w:r w:rsidRPr="00BD303B">
              <w:rPr>
                <w:rFonts w:asciiTheme="majorHAnsi" w:hAnsiTheme="majorHAnsi"/>
                <w:sz w:val="24"/>
                <w:szCs w:val="24"/>
              </w:rPr>
              <w:t xml:space="preserve">, le droit d’enregistrement exigible sur les marchés et concessions est liquidé sur la base de </w:t>
            </w:r>
            <w:r w:rsidRPr="00BD303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0,5%</w:t>
            </w:r>
            <w:r w:rsidRPr="00BD303B">
              <w:rPr>
                <w:rFonts w:asciiTheme="majorHAnsi" w:hAnsiTheme="majorHAnsi"/>
                <w:sz w:val="24"/>
                <w:szCs w:val="24"/>
              </w:rPr>
              <w:t xml:space="preserve"> de leur valeur y compris tous droits et taxes exigibles conformément à la législation en vigueur. </w:t>
            </w:r>
          </w:p>
          <w:p w:rsidR="00892C62" w:rsidRDefault="00892C62" w:rsidP="00AB0D05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En matière </w:t>
            </w:r>
            <w:r w:rsidR="00FD764D"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d’IS</w:t>
            </w:r>
            <w:r w:rsidR="00FD764D"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3</w:t>
            </w:r>
            <w:r w:rsid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 xml:space="preserve"> point</w:t>
            </w:r>
            <w:r w:rsidR="00FD764D"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D764D" w:rsidRDefault="00892C62" w:rsidP="00547E53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 l’absence d’une convention fiscale de non double imposition entre la Tunisie et le Japon, et conformément au droit interne, </w:t>
            </w:r>
            <w:r w:rsidR="00547E53">
              <w:rPr>
                <w:rFonts w:asciiTheme="majorHAnsi" w:hAnsiTheme="majorHAnsi"/>
                <w:sz w:val="24"/>
                <w:szCs w:val="24"/>
              </w:rPr>
              <w:t>le bureau Japonais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est </w:t>
            </w:r>
            <w:r w:rsidR="00FD764D">
              <w:rPr>
                <w:rFonts w:asciiTheme="majorHAnsi" w:hAnsiTheme="majorHAnsi"/>
                <w:sz w:val="24"/>
                <w:szCs w:val="24"/>
              </w:rPr>
              <w:t>imposable en Tunisie puisqu’</w:t>
            </w:r>
            <w:r w:rsidR="00547E53">
              <w:rPr>
                <w:rFonts w:asciiTheme="majorHAnsi" w:hAnsiTheme="majorHAnsi"/>
                <w:sz w:val="24"/>
                <w:szCs w:val="24"/>
              </w:rPr>
              <w:t>il</w:t>
            </w:r>
            <w:r w:rsidR="00FD764D">
              <w:rPr>
                <w:rFonts w:asciiTheme="majorHAnsi" w:hAnsiTheme="majorHAnsi"/>
                <w:sz w:val="24"/>
                <w:szCs w:val="24"/>
              </w:rPr>
              <w:t xml:space="preserve"> a réalisé un revenu de source tunisienne.</w:t>
            </w:r>
          </w:p>
          <w:p w:rsidR="00FD764D" w:rsidRDefault="00FD764D" w:rsidP="00BE5357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L’imposition se fait selon la législation Tunisienne </w:t>
            </w:r>
            <w:r w:rsidR="00BE5357">
              <w:rPr>
                <w:rFonts w:asciiTheme="majorHAnsi" w:hAnsiTheme="majorHAnsi"/>
                <w:sz w:val="24"/>
                <w:szCs w:val="24"/>
              </w:rPr>
              <w:t>en vigueur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par voie de retenue à la source libératoire au taux de 15% sur le montant payé TTC.</w:t>
            </w:r>
          </w:p>
          <w:p w:rsidR="00FD764D" w:rsidRDefault="00FD764D" w:rsidP="00FD764D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0163">
              <w:rPr>
                <w:rFonts w:asciiTheme="majorHAnsi" w:hAnsiTheme="majorHAnsi"/>
                <w:sz w:val="24"/>
                <w:szCs w:val="24"/>
              </w:rPr>
              <w:t>Régime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d’imposition par voie de retenue à la source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 libératoire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18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0.000D x 1,1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 x 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% = 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240 TND</w:t>
            </w:r>
          </w:p>
          <w:p w:rsidR="00FD764D" w:rsidRPr="00621EAB" w:rsidRDefault="00FD764D" w:rsidP="00C0728F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de TVA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0 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D764D" w:rsidRDefault="00FD764D" w:rsidP="00BA5780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 xml:space="preserve">Les rémunérations sont la contrepartie d’un service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d’étude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consommé en Tunisie</w:t>
            </w:r>
            <w:r w:rsidR="00BE5357">
              <w:rPr>
                <w:rFonts w:asciiTheme="majorHAnsi" w:hAnsiTheme="majorHAnsi"/>
                <w:sz w:val="24"/>
                <w:szCs w:val="24"/>
              </w:rPr>
              <w:t>.</w:t>
            </w:r>
            <w:r w:rsidR="00BA5780">
              <w:rPr>
                <w:rFonts w:asciiTheme="majorHAnsi" w:hAnsiTheme="majorHAnsi"/>
                <w:sz w:val="24"/>
                <w:szCs w:val="24"/>
              </w:rPr>
              <w:t xml:space="preserve"> Elles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rentre</w:t>
            </w:r>
            <w:r w:rsidR="00BA5780">
              <w:rPr>
                <w:rFonts w:asciiTheme="majorHAnsi" w:hAnsiTheme="majorHAnsi"/>
                <w:sz w:val="24"/>
                <w:szCs w:val="24"/>
              </w:rPr>
              <w:t>nt</w:t>
            </w:r>
            <w:r w:rsidR="00BE5357">
              <w:rPr>
                <w:rFonts w:asciiTheme="majorHAnsi" w:hAnsiTheme="majorHAnsi"/>
                <w:sz w:val="24"/>
                <w:szCs w:val="24"/>
              </w:rPr>
              <w:t>,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donc</w:t>
            </w:r>
            <w:r w:rsidR="00BA5780">
              <w:rPr>
                <w:rFonts w:asciiTheme="majorHAnsi" w:hAnsiTheme="majorHAnsi"/>
                <w:sz w:val="24"/>
                <w:szCs w:val="24"/>
              </w:rPr>
              <w:t>,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dans le champ d’application territoriale de la TVA qui est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due </w:t>
            </w:r>
            <w:r w:rsidR="00BE5357">
              <w:rPr>
                <w:rFonts w:asciiTheme="majorHAnsi" w:hAnsiTheme="majorHAnsi"/>
                <w:sz w:val="24"/>
                <w:szCs w:val="24"/>
              </w:rPr>
              <w:t xml:space="preserve">dans ce cas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au taux de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%.</w:t>
            </w:r>
          </w:p>
          <w:p w:rsidR="00FD764D" w:rsidRDefault="00FD764D" w:rsidP="00FD764D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9E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Etant non établie en Tunisie, </w:t>
            </w:r>
            <w:r>
              <w:rPr>
                <w:rFonts w:asciiTheme="majorHAnsi" w:hAnsiTheme="majorHAnsi"/>
                <w:sz w:val="24"/>
                <w:szCs w:val="24"/>
              </w:rPr>
              <w:t>le bureau d’étude Japonais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sera soumis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retenue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source au titre de la TVA au taux de 100%, et ceux conformément aux dispositions de l’article 19 du code TVA qui stipule</w:t>
            </w:r>
            <w:r>
              <w:rPr>
                <w:rFonts w:asciiTheme="majorHAnsi" w:hAnsiTheme="majorHAnsi"/>
                <w:sz w:val="24"/>
                <w:szCs w:val="24"/>
              </w:rPr>
              <w:t> :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« 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en cas de réalisation par les personnes morales et les personne physiques n’ayant pas d’établissement en Tunisie d’opérations soumises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la taxe sur la valeur ajouté, </w:t>
            </w:r>
            <w:r w:rsidRPr="0043606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leurs clients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sont tenus de </w:t>
            </w:r>
            <w:r w:rsidRPr="0042762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retenir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la taxe sur la valeur ajouté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d</w:t>
            </w:r>
            <w:r>
              <w:rPr>
                <w:rFonts w:asciiTheme="majorHAnsi" w:hAnsiTheme="majorHAnsi"/>
                <w:sz w:val="24"/>
                <w:szCs w:val="24"/>
              </w:rPr>
              <w:t>û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au titre de ces opérations. Cette retenue est libératoire de ladite taxe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> ». </w:t>
            </w:r>
          </w:p>
          <w:p w:rsidR="00FD764D" w:rsidRDefault="00FD764D" w:rsidP="00BE5357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TVA retenu à la source est déterminée comme suit</w:t>
            </w:r>
            <w:r>
              <w:rPr>
                <w:rFonts w:asciiTheme="majorHAnsi" w:hAnsiTheme="majorHAnsi"/>
                <w:sz w:val="24"/>
                <w:szCs w:val="24"/>
              </w:rPr>
              <w:t> :</w:t>
            </w:r>
            <w:r w:rsidR="00BE53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180.000,000 </w:t>
            </w:r>
            <w:proofErr w:type="spellStart"/>
            <w:r>
              <w:rPr>
                <w:rFonts w:asciiTheme="majorHAnsi" w:hAnsiTheme="majorHAnsi" w:hint="cs"/>
                <w:sz w:val="24"/>
                <w:szCs w:val="24"/>
                <w:rtl/>
              </w:rPr>
              <w:t>×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0,12 </w:t>
            </w:r>
            <w:proofErr w:type="spellStart"/>
            <w:r>
              <w:rPr>
                <w:rFonts w:asciiTheme="majorHAnsi" w:hAnsiTheme="majorHAnsi" w:hint="cs"/>
                <w:sz w:val="24"/>
                <w:szCs w:val="24"/>
                <w:rtl/>
              </w:rPr>
              <w:t>×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100% = </w:t>
            </w:r>
            <w:r w:rsidR="00C0728F"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C0728F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  <w:r w:rsidR="00C072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TND</w:t>
            </w:r>
          </w:p>
          <w:p w:rsidR="00FD764D" w:rsidRDefault="00FD764D" w:rsidP="00BE5357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 xml:space="preserve">Cependant, </w:t>
            </w:r>
            <w:r w:rsidR="00C0728F">
              <w:rPr>
                <w:rFonts w:asciiTheme="majorHAnsi" w:hAnsiTheme="majorHAnsi"/>
                <w:sz w:val="24"/>
                <w:szCs w:val="24"/>
              </w:rPr>
              <w:t>le bureau d’étude Japonais</w:t>
            </w:r>
            <w:r w:rsidRPr="002954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5357" w:rsidRPr="00AA276B">
              <w:rPr>
                <w:rFonts w:asciiTheme="majorHAnsi" w:hAnsiTheme="majorHAnsi"/>
                <w:sz w:val="24"/>
                <w:szCs w:val="24"/>
              </w:rPr>
              <w:t>peu</w:t>
            </w:r>
            <w:r w:rsidR="00BE5357">
              <w:rPr>
                <w:rFonts w:asciiTheme="majorHAnsi" w:hAnsiTheme="majorHAnsi"/>
                <w:sz w:val="24"/>
                <w:szCs w:val="24"/>
              </w:rPr>
              <w:t>t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5357" w:rsidRPr="00AA276B">
              <w:rPr>
                <w:rFonts w:asciiTheme="majorHAnsi" w:hAnsiTheme="majorHAnsi"/>
                <w:sz w:val="24"/>
                <w:szCs w:val="24"/>
              </w:rPr>
              <w:t>toujours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E0FF6">
              <w:rPr>
                <w:rFonts w:asciiTheme="majorHAnsi" w:hAnsiTheme="majorHAnsi"/>
                <w:sz w:val="24"/>
                <w:szCs w:val="24"/>
              </w:rPr>
              <w:t xml:space="preserve">opter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pour son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assujettissement à la TVA selon le régime de droit commun. Dans ce cas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0728F">
              <w:rPr>
                <w:rFonts w:asciiTheme="majorHAnsi" w:hAnsiTheme="majorHAnsi"/>
                <w:sz w:val="24"/>
                <w:szCs w:val="24"/>
              </w:rPr>
              <w:t>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bénéficie de la déduction de la TVA ayant grevé les marchandises et les services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nécessaires à la réalisation des opérations soumises à ladite taxe. En cas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d’apparition d’un crédit de taxe, ce dernier est remboursable conformément à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législation en vigueur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B47C1" w:rsidRDefault="00EB47C1" w:rsidP="00EB47C1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B</w:t>
            </w:r>
            <w:r w:rsidRPr="00A043A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- Régime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fiscal découlant de la </w:t>
            </w:r>
            <w:r w:rsidRPr="00EB47C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construction de l’usine</w:t>
            </w:r>
            <w:r w:rsidRPr="00A043A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B47C1" w:rsidRPr="00AB0D05" w:rsidRDefault="00EB47C1" w:rsidP="00BE5357">
            <w:pPr>
              <w:spacing w:before="120" w:after="120"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Puisque chaque intervenant dans la réalisation du marché exécute les taches lui incombant sous sa propre responsabilité sans qu’il soit lié par </w:t>
            </w:r>
            <w:r w:rsidRPr="00BE535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aucune solidarité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avec les autres signataires et facture ses propres prestations ou fournitures </w:t>
            </w:r>
            <w:r w:rsidRPr="00BE535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directement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à la société </w:t>
            </w:r>
            <w:r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«ABC»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BE5357">
              <w:rPr>
                <w:rFonts w:asciiTheme="majorHAnsi" w:hAnsiTheme="majorHAnsi"/>
                <w:sz w:val="24"/>
                <w:szCs w:val="24"/>
              </w:rPr>
              <w:t xml:space="preserve"> il s’agit donc d’un groupement </w:t>
            </w:r>
            <w:r w:rsidR="00BE5357" w:rsidRPr="00BE535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écran</w:t>
            </w:r>
            <w:r w:rsidR="00BE5357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5357">
              <w:rPr>
                <w:rFonts w:asciiTheme="majorHAnsi" w:hAnsiTheme="majorHAnsi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 régime fiscal de chaque intervenant est déterminé comme suit : </w:t>
            </w:r>
            <w:r w:rsidR="00AB0D05" w:rsidRPr="00BE5357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AB0D05" w:rsidRPr="00BE5357">
              <w:rPr>
                <w:rFonts w:asciiTheme="majorHAnsi" w:hAnsiTheme="majorHAnsi"/>
                <w:b/>
                <w:bCs/>
                <w:sz w:val="24"/>
                <w:szCs w:val="24"/>
                <w:lang w:bidi="ar-TN"/>
              </w:rPr>
              <w:t>1 point</w:t>
            </w:r>
            <w:r w:rsidR="00AB0D05" w:rsidRPr="00BE5357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  <w:p w:rsidR="00FD764D" w:rsidRPr="002D5505" w:rsidRDefault="002D5505" w:rsidP="00C75854">
            <w:pPr>
              <w:spacing w:before="120" w:after="120" w:line="360" w:lineRule="auto"/>
              <w:ind w:left="-51" w:firstLine="5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B</w:t>
            </w:r>
            <w:r w:rsidRPr="00A043A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1-</w:t>
            </w:r>
            <w:r w:rsidR="00C0728F" w:rsidRPr="002D55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Convention réalisée avec la société «Travaux de Bâtiment»</w:t>
            </w:r>
            <w:r w:rsidR="00C0728F" w:rsidRPr="002D550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D5505" w:rsidRDefault="002D5505" w:rsidP="00AB0D05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d’IS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 xml:space="preserve">2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D5505" w:rsidRDefault="002D5505" w:rsidP="0053218B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Les produits réalisés dans le cadre du contrat de construction de l’usine font partie des produits imposable au titre de l’exercice 2012. Une retenue à la source au titre des paiements supérieurs à 2.000 TND au taux de 1,5% est opérée et qui demeure imputable </w:t>
            </w:r>
            <w:r w:rsidR="0053218B">
              <w:rPr>
                <w:rFonts w:asciiTheme="majorHAnsi" w:hAnsiTheme="majorHAnsi"/>
                <w:sz w:val="24"/>
                <w:szCs w:val="24"/>
              </w:rPr>
              <w:t>sur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l’impôt sur les sociétés</w:t>
            </w:r>
            <w:r w:rsidR="0053218B">
              <w:rPr>
                <w:rFonts w:asciiTheme="majorHAnsi" w:hAnsiTheme="majorHAnsi"/>
                <w:sz w:val="24"/>
                <w:szCs w:val="24"/>
              </w:rPr>
              <w:t xml:space="preserve"> du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au titre du même exercice. Toutefois, si un excédant est dégagé à se titre, peu</w:t>
            </w:r>
            <w:r w:rsidR="0053218B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faire l’objet d’une restitution conformément à la réglementation en </w:t>
            </w:r>
            <w:r w:rsidR="0053218B">
              <w:rPr>
                <w:rFonts w:asciiTheme="majorHAnsi" w:hAnsiTheme="majorHAnsi"/>
                <w:sz w:val="24"/>
                <w:szCs w:val="24"/>
              </w:rPr>
              <w:t>vigueur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D5505" w:rsidRPr="00621EAB" w:rsidRDefault="002D5505" w:rsidP="0053218B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de TVA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0 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823B1" w:rsidRPr="00BE5357" w:rsidRDefault="0053218B" w:rsidP="00720EB5">
            <w:pPr>
              <w:spacing w:before="240" w:after="240" w:line="360" w:lineRule="auto"/>
              <w:jc w:val="both"/>
              <w:rPr>
                <w:rFonts w:asciiTheme="majorHAnsi" w:hAnsiTheme="majorHAnsi"/>
              </w:rPr>
            </w:pPr>
            <w:r w:rsidRPr="00BE5357">
              <w:rPr>
                <w:rFonts w:asciiTheme="majorHAnsi" w:hAnsiTheme="majorHAnsi"/>
              </w:rPr>
              <w:t>L’activité de la société est soumise à la TVA au taux de 18% par voie de dépôt de déclaration.</w:t>
            </w:r>
          </w:p>
          <w:p w:rsidR="0053218B" w:rsidRPr="002D5505" w:rsidRDefault="0053218B" w:rsidP="00C75854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lastRenderedPageBreak/>
              <w:t>B</w:t>
            </w:r>
            <w:r w:rsidRPr="00A043A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2-</w:t>
            </w:r>
            <w:r w:rsidRPr="002D55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Convention réalisée avec la société 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Turque»</w:t>
            </w:r>
          </w:p>
          <w:p w:rsidR="0053218B" w:rsidRPr="00BB115E" w:rsidRDefault="0053218B" w:rsidP="0053218B">
            <w:pPr>
              <w:tabs>
                <w:tab w:val="left" w:pos="709"/>
              </w:tabs>
              <w:spacing w:before="120" w:after="120" w:line="360" w:lineRule="auto"/>
              <w:ind w:left="360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BB115E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1-La fourniture des équipements</w:t>
            </w:r>
          </w:p>
          <w:p w:rsidR="0053218B" w:rsidRPr="001E0163" w:rsidRDefault="0053218B" w:rsidP="00AB0D05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0163">
              <w:rPr>
                <w:rFonts w:asciiTheme="majorHAnsi" w:hAnsiTheme="majorHAnsi"/>
                <w:sz w:val="24"/>
                <w:szCs w:val="24"/>
              </w:rPr>
              <w:t>La fourniture des équipements est considérée comme une opération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d'importation qui n'est passible, éventuellement, qu'aux impôts et taxes indirects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qui sont prélevées lors du dédouanement. Ces impôts sont à la charge de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société </w:t>
            </w:r>
            <w:r w:rsidRPr="008878C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ABC</w:t>
            </w:r>
            <w:r w:rsidRPr="008878C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»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B0D05"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(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1 point</w:t>
            </w:r>
            <w:r w:rsidR="00AB0D05"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3218B" w:rsidRPr="00BB115E" w:rsidRDefault="0053218B" w:rsidP="0053218B">
            <w:pPr>
              <w:tabs>
                <w:tab w:val="left" w:pos="709"/>
              </w:tabs>
              <w:spacing w:before="120" w:after="120" w:line="360" w:lineRule="auto"/>
              <w:ind w:left="360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BB115E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2-Les travaux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montage des équipements </w:t>
            </w:r>
          </w:p>
          <w:p w:rsidR="00C75854" w:rsidRDefault="00C75854" w:rsidP="00AB0D05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d’IS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2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 xml:space="preserve"> 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75854" w:rsidRDefault="00C75854" w:rsidP="00C75854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>En vertu de l’article 5-</w:t>
            </w:r>
            <w:r>
              <w:rPr>
                <w:rFonts w:asciiTheme="majorHAnsi" w:hAnsiTheme="majorHAnsi"/>
                <w:sz w:val="24"/>
                <w:szCs w:val="24"/>
              </w:rPr>
              <w:t>2-g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de la convention de non double imposition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uniso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-Turquie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le terme </w:t>
            </w:r>
            <w:r w:rsidRPr="00C7585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«établissement stable»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comprend </w:t>
            </w:r>
            <w:r>
              <w:rPr>
                <w:rFonts w:asciiTheme="majorHAnsi" w:hAnsiTheme="majorHAnsi"/>
                <w:sz w:val="24"/>
                <w:szCs w:val="24"/>
              </w:rPr>
              <w:t>les</w:t>
            </w:r>
            <w:r w:rsidRPr="00C75854">
              <w:rPr>
                <w:rFonts w:asciiTheme="majorHAnsi" w:hAnsiTheme="majorHAnsi"/>
                <w:sz w:val="24"/>
                <w:szCs w:val="24"/>
              </w:rPr>
              <w:t xml:space="preserve"> chantier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C75854">
              <w:rPr>
                <w:rFonts w:asciiTheme="majorHAnsi" w:hAnsiTheme="majorHAnsi"/>
                <w:sz w:val="24"/>
                <w:szCs w:val="24"/>
              </w:rPr>
              <w:t xml:space="preserve"> de construction, ou de montage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5357">
              <w:rPr>
                <w:rFonts w:asciiTheme="majorHAnsi" w:hAnsiTheme="majorHAnsi"/>
                <w:sz w:val="24"/>
                <w:szCs w:val="24"/>
              </w:rPr>
              <w:t xml:space="preserve">qui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ont une </w:t>
            </w:r>
            <w:r w:rsidRPr="00C75854">
              <w:rPr>
                <w:rFonts w:asciiTheme="majorHAnsi" w:hAnsiTheme="majorHAnsi"/>
                <w:sz w:val="24"/>
                <w:szCs w:val="24"/>
              </w:rPr>
              <w:t xml:space="preserve">durée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qui </w:t>
            </w:r>
            <w:r w:rsidRPr="00C75854">
              <w:rPr>
                <w:rFonts w:asciiTheme="majorHAnsi" w:hAnsiTheme="majorHAnsi"/>
                <w:sz w:val="24"/>
                <w:szCs w:val="24"/>
              </w:rPr>
              <w:t xml:space="preserve">dépasse </w:t>
            </w:r>
            <w:r w:rsidRPr="00C75854">
              <w:rPr>
                <w:rFonts w:asciiTheme="majorHAnsi" w:hAnsiTheme="majorHAnsi"/>
                <w:b/>
                <w:bCs/>
                <w:sz w:val="24"/>
                <w:szCs w:val="24"/>
              </w:rPr>
              <w:t>six mois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75854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Theme="majorHAnsi" w:hAnsiTheme="majorHAnsi" w:hint="cs"/>
                <w:sz w:val="24"/>
                <w:szCs w:val="24"/>
                <w:rtl/>
              </w:rPr>
              <w:t>×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30 =180 jours)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</w:p>
          <w:p w:rsidR="00C75854" w:rsidRPr="00CD515E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 durée des travaux de montage est de 121 jours </w:t>
            </w:r>
            <w:r w:rsidRPr="00BE5357">
              <w:rPr>
                <w:rFonts w:asciiTheme="majorHAnsi" w:hAnsiTheme="maj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180 jours et en</w:t>
            </w:r>
            <w:r w:rsidR="00C75854">
              <w:rPr>
                <w:rFonts w:asciiTheme="majorHAnsi" w:hAnsiTheme="majorHAnsi"/>
                <w:sz w:val="24"/>
                <w:szCs w:val="24"/>
              </w:rPr>
              <w:t xml:space="preserve"> vertu de l’article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C75854" w:rsidRPr="00AA276B">
              <w:rPr>
                <w:rFonts w:asciiTheme="majorHAnsi" w:hAnsiTheme="majorHAnsi"/>
                <w:sz w:val="24"/>
                <w:szCs w:val="24"/>
              </w:rPr>
              <w:t>5-</w:t>
            </w:r>
            <w:r w:rsidR="00C75854">
              <w:rPr>
                <w:rFonts w:asciiTheme="majorHAnsi" w:hAnsiTheme="majorHAnsi"/>
                <w:sz w:val="24"/>
                <w:szCs w:val="24"/>
              </w:rPr>
              <w:t>2-g</w:t>
            </w:r>
            <w:r w:rsidR="00C75854" w:rsidRPr="00AA276B">
              <w:rPr>
                <w:rFonts w:asciiTheme="majorHAnsi" w:hAnsiTheme="majorHAnsi"/>
                <w:sz w:val="24"/>
                <w:szCs w:val="24"/>
              </w:rPr>
              <w:t xml:space="preserve"> de la convention de non double imposition </w:t>
            </w:r>
            <w:proofErr w:type="spellStart"/>
            <w:r w:rsidR="00C75854">
              <w:rPr>
                <w:rFonts w:asciiTheme="majorHAnsi" w:hAnsiTheme="majorHAnsi"/>
                <w:sz w:val="24"/>
                <w:szCs w:val="24"/>
              </w:rPr>
              <w:t>T</w:t>
            </w:r>
            <w:r w:rsidR="00C75854" w:rsidRPr="00AA276B">
              <w:rPr>
                <w:rFonts w:asciiTheme="majorHAnsi" w:hAnsiTheme="majorHAnsi"/>
                <w:sz w:val="24"/>
                <w:szCs w:val="24"/>
              </w:rPr>
              <w:t>uniso</w:t>
            </w:r>
            <w:proofErr w:type="spellEnd"/>
            <w:r w:rsidR="00C75854">
              <w:rPr>
                <w:rFonts w:asciiTheme="majorHAnsi" w:hAnsiTheme="majorHAnsi"/>
                <w:sz w:val="24"/>
                <w:szCs w:val="24"/>
              </w:rPr>
              <w:t xml:space="preserve">-Turquie, la société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Turque»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75854">
              <w:rPr>
                <w:rFonts w:asciiTheme="majorHAnsi" w:hAnsiTheme="majorHAnsi"/>
                <w:sz w:val="24"/>
                <w:szCs w:val="24"/>
              </w:rPr>
              <w:t xml:space="preserve">n’est pas considérée comme étant établie en Tunisie </w:t>
            </w:r>
            <w:r w:rsidR="00C75854" w:rsidRPr="00AA276B">
              <w:rPr>
                <w:rFonts w:asciiTheme="majorHAnsi" w:hAnsiTheme="majorHAnsi"/>
                <w:sz w:val="24"/>
                <w:szCs w:val="24"/>
              </w:rPr>
              <w:t xml:space="preserve">et </w:t>
            </w:r>
            <w:r w:rsidR="00C75854">
              <w:rPr>
                <w:rFonts w:asciiTheme="majorHAnsi" w:hAnsiTheme="majorHAnsi"/>
                <w:sz w:val="24"/>
                <w:szCs w:val="24"/>
              </w:rPr>
              <w:t xml:space="preserve">ne </w:t>
            </w:r>
            <w:r w:rsidR="00C75854" w:rsidRPr="00AA276B">
              <w:rPr>
                <w:rFonts w:asciiTheme="majorHAnsi" w:hAnsiTheme="majorHAnsi"/>
                <w:sz w:val="24"/>
                <w:szCs w:val="24"/>
              </w:rPr>
              <w:t xml:space="preserve">sera donc </w:t>
            </w:r>
            <w:r w:rsidR="00C75854">
              <w:rPr>
                <w:rFonts w:asciiTheme="majorHAnsi" w:hAnsiTheme="majorHAnsi"/>
                <w:sz w:val="24"/>
                <w:szCs w:val="24"/>
              </w:rPr>
              <w:t xml:space="preserve">passible d’aucune imposition en Tunisie.  </w:t>
            </w:r>
            <w:r w:rsidR="00C75854" w:rsidRPr="00CD515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6329B" w:rsidRPr="00621EAB" w:rsidRDefault="00F6329B" w:rsidP="00F6329B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de TVA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0 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 xml:space="preserve">Les rémunérations sont la contrepartie d’un service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d’étude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consommé en Tunisie,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elles rentrent donc dans le champ d’application territoriale de la TVA qui est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due au taux de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%.</w:t>
            </w:r>
          </w:p>
          <w:p w:rsidR="00F6329B" w:rsidRDefault="00F6329B" w:rsidP="00BA5780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9EE">
              <w:rPr>
                <w:rFonts w:asciiTheme="majorHAnsi" w:hAnsiTheme="majorHAnsi"/>
                <w:sz w:val="24"/>
                <w:szCs w:val="24"/>
              </w:rPr>
              <w:t xml:space="preserve">Etant non établie en Tunisie, </w:t>
            </w:r>
            <w:r>
              <w:rPr>
                <w:rFonts w:asciiTheme="majorHAnsi" w:hAnsiTheme="majorHAnsi"/>
                <w:sz w:val="24"/>
                <w:szCs w:val="24"/>
              </w:rPr>
              <w:t>le bureau d’étude Japonais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sera soumis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retenue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source au titre de la TVA au taux de 100%, et ceux conformément aux dispositions de l’article 19 du code TVA qui stipule</w:t>
            </w:r>
            <w:r>
              <w:rPr>
                <w:rFonts w:asciiTheme="majorHAnsi" w:hAnsiTheme="majorHAnsi"/>
                <w:sz w:val="24"/>
                <w:szCs w:val="24"/>
              </w:rPr>
              <w:t> :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en cas de réalisation par les personnes morales et les personne physiques n’ayant pas d’établissement en Tunisie d’opérations soumises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la taxe sur la valeur ajouté, </w:t>
            </w:r>
            <w:r w:rsidRPr="0043606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leurs clients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sont tenus de </w:t>
            </w:r>
            <w:r w:rsidRPr="0042762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retenir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la taxe sur la valeur ajouté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d</w:t>
            </w:r>
            <w:r>
              <w:rPr>
                <w:rFonts w:asciiTheme="majorHAnsi" w:hAnsiTheme="majorHAnsi"/>
                <w:sz w:val="24"/>
                <w:szCs w:val="24"/>
              </w:rPr>
              <w:t>û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au titre de ces opérations. Cette retenue est libératoire de ladite taxe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>». </w:t>
            </w: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TVA retenu à la source est déterminée comme suit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 : 200.000,000 </w:t>
            </w:r>
            <w:proofErr w:type="spellStart"/>
            <w:r>
              <w:rPr>
                <w:rFonts w:asciiTheme="majorHAnsi" w:hAnsiTheme="majorHAnsi" w:hint="cs"/>
                <w:sz w:val="24"/>
                <w:szCs w:val="24"/>
                <w:rtl/>
              </w:rPr>
              <w:t>×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0,18 </w:t>
            </w:r>
            <w:proofErr w:type="spellStart"/>
            <w:r>
              <w:rPr>
                <w:rFonts w:asciiTheme="majorHAnsi" w:hAnsiTheme="majorHAnsi" w:hint="cs"/>
                <w:sz w:val="24"/>
                <w:szCs w:val="24"/>
                <w:rtl/>
              </w:rPr>
              <w:t>×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100% = 36.000 TND</w:t>
            </w: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329B" w:rsidRDefault="00F6329B" w:rsidP="00F6329B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Cependant,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la société  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Turque»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peut toujours </w:t>
            </w:r>
            <w:r w:rsidRPr="006E0FF6">
              <w:rPr>
                <w:rFonts w:asciiTheme="majorHAnsi" w:hAnsiTheme="majorHAnsi"/>
                <w:sz w:val="24"/>
                <w:szCs w:val="24"/>
              </w:rPr>
              <w:t xml:space="preserve">opter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pour son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assujettissement à la TVA selon le régime de droit commun. Dans ce cas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bénéficie de la déduction de la TVA ayant grevé les marchandises et les services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nécessaires à la réalisation des opérations soumises à ladite taxe. En cas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d’apparition d’un crédit de taxe, ce dernier est remboursable conformément à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législation en vigueur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6329B" w:rsidRPr="002D5505" w:rsidRDefault="00F6329B" w:rsidP="00F6329B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B</w:t>
            </w:r>
            <w:r w:rsidRPr="00A043A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3-</w:t>
            </w:r>
            <w:r w:rsidRPr="002D55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Convention réalisée avec la société </w:t>
            </w:r>
            <w:r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 finance»</w:t>
            </w:r>
          </w:p>
          <w:p w:rsidR="00F6329B" w:rsidRDefault="00F6329B" w:rsidP="00AB0D05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d’IS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3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 xml:space="preserve"> 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 xml:space="preserve">En vertu de l’article 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de la convention de non double imposition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uniso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-Turquie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les intérêts peuvent être imposés dans l’Etat contractant d’où ils proviennent et selon la législation de cet Etat, mais l’impôt ainsi établi ne peut excéder </w:t>
            </w:r>
            <w:r w:rsidRPr="002F209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10%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leur montant brut.</w:t>
            </w:r>
          </w:p>
          <w:p w:rsidR="00F6329B" w:rsidRDefault="00F6329B" w:rsidP="00AB0D05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0163">
              <w:rPr>
                <w:rFonts w:asciiTheme="majorHAnsi" w:hAnsiTheme="majorHAnsi"/>
                <w:sz w:val="24"/>
                <w:szCs w:val="24"/>
              </w:rPr>
              <w:t>Régime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d’imposition par voie de retenue à la source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 libératoire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2.000.000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D x 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%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x 1,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06 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10%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 xml:space="preserve"> = </w:t>
            </w:r>
            <w:r w:rsidR="00AB0D05"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AB0D05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Pr="001E016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TND</w:t>
            </w:r>
          </w:p>
          <w:p w:rsidR="00F6329B" w:rsidRPr="00621EAB" w:rsidRDefault="00F6329B" w:rsidP="00F6329B">
            <w:pPr>
              <w:pStyle w:val="Paragraphedeliste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621EA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En matière de TVA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bidi="ar-TN"/>
              </w:rPr>
              <w:t>0 point</w:t>
            </w:r>
            <w:r w:rsidRPr="00FD764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6329B" w:rsidRDefault="00F6329B" w:rsidP="00F6329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 xml:space="preserve">Les rémunérations sont la contrepartie </w:t>
            </w:r>
            <w:r>
              <w:rPr>
                <w:rFonts w:asciiTheme="majorHAnsi" w:hAnsiTheme="majorHAnsi"/>
                <w:sz w:val="24"/>
                <w:szCs w:val="24"/>
              </w:rPr>
              <w:t>des intérêts d’origine Tunisienne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elles rentrent donc dans le champ d’application territoriale de la TVA qui est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due au taux de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%.</w:t>
            </w:r>
          </w:p>
          <w:p w:rsidR="00F6329B" w:rsidRDefault="00F6329B" w:rsidP="00F6329B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9EE">
              <w:rPr>
                <w:rFonts w:asciiTheme="majorHAnsi" w:hAnsiTheme="majorHAnsi"/>
                <w:sz w:val="24"/>
                <w:szCs w:val="24"/>
              </w:rPr>
              <w:t xml:space="preserve">Etant non établie en Tunisie, la société </w:t>
            </w:r>
            <w:r w:rsidR="00AB0D05"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="00AB0D05"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 finance»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sera soumise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retenue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source au titre de la TVA au taux de 100%, et ceux conformément aux dispositions de l’article 19 du code TVA qui stipule</w:t>
            </w:r>
            <w:r>
              <w:rPr>
                <w:rFonts w:asciiTheme="majorHAnsi" w:hAnsiTheme="majorHAnsi"/>
                <w:sz w:val="24"/>
                <w:szCs w:val="24"/>
              </w:rPr>
              <w:t> :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en cas de réalisation par les personnes morales et les personne physiques n’ayant pas d’établissement en Tunisie d’opérations soumises 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la taxe sur la valeur ajouté, </w:t>
            </w:r>
            <w:r w:rsidRPr="0043606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leurs clients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sont tenus de </w:t>
            </w:r>
            <w:r w:rsidRPr="0042762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retenir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la taxe sur la valeur ajouté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d</w:t>
            </w:r>
            <w:r>
              <w:rPr>
                <w:rFonts w:asciiTheme="majorHAnsi" w:hAnsiTheme="majorHAnsi"/>
                <w:sz w:val="24"/>
                <w:szCs w:val="24"/>
              </w:rPr>
              <w:t>û</w:t>
            </w:r>
            <w:r w:rsidRPr="00436061">
              <w:rPr>
                <w:rFonts w:asciiTheme="majorHAnsi" w:hAnsiTheme="majorHAnsi"/>
                <w:sz w:val="24"/>
                <w:szCs w:val="24"/>
              </w:rPr>
              <w:t xml:space="preserve"> au titre de ces opérations. Cette retenue est libératoire de ladite taxe</w:t>
            </w:r>
            <w:r w:rsidRPr="004139EE">
              <w:rPr>
                <w:rFonts w:asciiTheme="majorHAnsi" w:hAnsiTheme="majorHAnsi"/>
                <w:sz w:val="24"/>
                <w:szCs w:val="24"/>
              </w:rPr>
              <w:t>». </w:t>
            </w:r>
          </w:p>
          <w:p w:rsidR="00F6329B" w:rsidRDefault="00F6329B" w:rsidP="00AB0D05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  <w:lang w:bidi="ar-TN"/>
              </w:rPr>
            </w:pPr>
            <w:r w:rsidRPr="004139EE">
              <w:rPr>
                <w:rFonts w:asciiTheme="majorHAnsi" w:hAnsiTheme="majorHAnsi"/>
                <w:sz w:val="24"/>
                <w:szCs w:val="24"/>
              </w:rPr>
              <w:t xml:space="preserve"> La TVA retenu à la source est déterminée comme suit </w:t>
            </w:r>
            <w:r>
              <w:rPr>
                <w:rFonts w:asciiTheme="majorHAnsi" w:hAnsiTheme="majorHAnsi"/>
                <w:sz w:val="24"/>
                <w:szCs w:val="24"/>
              </w:rPr>
              <w:t>= 2.</w:t>
            </w:r>
            <w:r w:rsidR="00AB0D05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00.000,000 </w:t>
            </w:r>
            <w:proofErr w:type="spellStart"/>
            <w:r w:rsidRPr="00F17DC9">
              <w:rPr>
                <w:rFonts w:asciiTheme="majorHAnsi" w:hAnsiTheme="majorHAnsi" w:hint="cs"/>
                <w:sz w:val="24"/>
                <w:szCs w:val="24"/>
                <w:rtl/>
                <w:lang w:val="en-US" w:bidi="ar-TN"/>
              </w:rPr>
              <w:t>×</w:t>
            </w:r>
            <w:proofErr w:type="spellEnd"/>
            <w:r w:rsidRPr="00D75170">
              <w:rPr>
                <w:rFonts w:asciiTheme="majorHAnsi" w:hAnsiTheme="majorHAnsi"/>
                <w:sz w:val="24"/>
                <w:szCs w:val="24"/>
                <w:lang w:bidi="ar-TN"/>
              </w:rPr>
              <w:t xml:space="preserve"> </w:t>
            </w:r>
            <w:r w:rsidRPr="00F17DC9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ajorHAnsi" w:hAnsiTheme="majorHAnsi" w:hint="cs"/>
                <w:sz w:val="24"/>
                <w:szCs w:val="24"/>
                <w:rtl/>
                <w:lang w:val="en-US" w:bidi="ar-TN"/>
              </w:rPr>
              <w:t>×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bidi="ar-TN"/>
              </w:rPr>
              <w:t xml:space="preserve"> 0,06</w:t>
            </w:r>
            <w:r w:rsidRPr="00F17D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17DC9">
              <w:rPr>
                <w:rFonts w:asciiTheme="majorHAnsi" w:hAnsiTheme="majorHAnsi"/>
                <w:sz w:val="24"/>
                <w:szCs w:val="24"/>
                <w:lang w:bidi="ar-TN"/>
              </w:rPr>
              <w:t xml:space="preserve">= </w:t>
            </w:r>
            <w:r>
              <w:rPr>
                <w:rFonts w:asciiTheme="majorHAnsi" w:hAnsiTheme="majorHAnsi"/>
                <w:sz w:val="24"/>
                <w:szCs w:val="24"/>
                <w:lang w:bidi="ar-TN"/>
              </w:rPr>
              <w:t>1</w:t>
            </w:r>
            <w:r w:rsidR="00AB0D05">
              <w:rPr>
                <w:rFonts w:asciiTheme="majorHAnsi" w:hAnsiTheme="majorHAnsi"/>
                <w:sz w:val="24"/>
                <w:szCs w:val="24"/>
                <w:lang w:bidi="ar-TN"/>
              </w:rPr>
              <w:t>2</w:t>
            </w:r>
            <w:r w:rsidRPr="00F17DC9">
              <w:rPr>
                <w:rFonts w:asciiTheme="majorHAnsi" w:hAnsiTheme="majorHAnsi"/>
                <w:sz w:val="24"/>
                <w:szCs w:val="24"/>
                <w:lang w:bidi="ar-TN"/>
              </w:rPr>
              <w:t>.000</w:t>
            </w:r>
            <w:r w:rsidR="00AB0D05">
              <w:rPr>
                <w:rFonts w:asciiTheme="majorHAnsi" w:hAnsiTheme="majorHAnsi"/>
                <w:sz w:val="24"/>
                <w:szCs w:val="24"/>
                <w:lang w:bidi="ar-TN"/>
              </w:rPr>
              <w:t xml:space="preserve"> </w:t>
            </w:r>
            <w:r w:rsidRPr="00F17DC9">
              <w:rPr>
                <w:rFonts w:asciiTheme="majorHAnsi" w:hAnsiTheme="majorHAnsi"/>
                <w:sz w:val="24"/>
                <w:szCs w:val="24"/>
                <w:lang w:bidi="ar-TN"/>
              </w:rPr>
              <w:t>TND.</w:t>
            </w:r>
          </w:p>
          <w:p w:rsidR="00F6329B" w:rsidRDefault="00F6329B" w:rsidP="00AB0D05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76B">
              <w:rPr>
                <w:rFonts w:asciiTheme="majorHAnsi" w:hAnsiTheme="majorHAnsi"/>
                <w:sz w:val="24"/>
                <w:szCs w:val="24"/>
              </w:rPr>
              <w:t xml:space="preserve">Cependant, la société </w:t>
            </w:r>
            <w:r w:rsidR="00AB0D05"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="00AB0D05"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 finance»</w:t>
            </w:r>
            <w:r w:rsidR="00AB0D0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peut toujours </w:t>
            </w:r>
            <w:r w:rsidRPr="00CB2C3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opter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pour son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assujettissement à la TVA selon le régime de droit commun. Dans ce cas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 xml:space="preserve"> elle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bénéficie de la déduction de la TVA ayant grevé les marchandises et les services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nécessaires à la réalisation des opérations soumises à ladite taxe. En cas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d’apparition d’un crédit de taxe, ce dernier est remboursable conformément à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A276B">
              <w:rPr>
                <w:rFonts w:asciiTheme="majorHAnsi" w:hAnsiTheme="majorHAnsi"/>
                <w:sz w:val="24"/>
                <w:szCs w:val="24"/>
              </w:rPr>
              <w:t>législation en vigueur.</w:t>
            </w:r>
          </w:p>
          <w:p w:rsidR="00AB0D05" w:rsidRDefault="00AB0D05" w:rsidP="00C63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95611" w:rsidRPr="00095611" w:rsidRDefault="00B23E94" w:rsidP="00C63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DOSSIER 2</w:t>
            </w:r>
            <w:r w:rsidR="00095611"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(</w:t>
            </w:r>
            <w:r w:rsidR="00354A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="00095611"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095611" w:rsidRPr="00095611" w:rsidTr="00202494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74BA6" w:rsidRDefault="00074BA6" w:rsidP="00074B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43D81" w:rsidRDefault="00943D81" w:rsidP="00943D81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90759">
        <w:rPr>
          <w:rFonts w:asciiTheme="majorHAnsi" w:hAnsiTheme="majorHAnsi"/>
          <w:b/>
          <w:bCs/>
          <w:sz w:val="24"/>
          <w:szCs w:val="24"/>
        </w:rPr>
        <w:t xml:space="preserve">Note sur le régime </w:t>
      </w:r>
      <w:r w:rsidRPr="00943D81">
        <w:rPr>
          <w:rFonts w:asciiTheme="majorHAnsi" w:hAnsiTheme="majorHAnsi"/>
          <w:b/>
          <w:bCs/>
          <w:sz w:val="24"/>
          <w:szCs w:val="24"/>
        </w:rPr>
        <w:t xml:space="preserve">mis à la charge de la société «Bara TV» concernant les opérations </w:t>
      </w:r>
      <w:r>
        <w:rPr>
          <w:rFonts w:asciiTheme="majorHAnsi" w:hAnsiTheme="majorHAnsi"/>
          <w:b/>
          <w:bCs/>
          <w:sz w:val="24"/>
          <w:szCs w:val="24"/>
        </w:rPr>
        <w:t>effectuées</w:t>
      </w:r>
      <w:r w:rsidRPr="00943D81">
        <w:rPr>
          <w:rFonts w:asciiTheme="majorHAnsi" w:hAnsiTheme="majorHAnsi"/>
          <w:b/>
          <w:bCs/>
          <w:sz w:val="24"/>
          <w:szCs w:val="24"/>
        </w:rPr>
        <w:t xml:space="preserve"> sachant que le paiement effectif de ces montants a eu lieu au cours de l’année 2012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943D81" w:rsidRPr="00943D81" w:rsidRDefault="00943D81" w:rsidP="00943D81">
      <w:p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043AF">
        <w:rPr>
          <w:rFonts w:asciiTheme="majorHAnsi" w:hAnsiTheme="majorHAnsi"/>
          <w:b/>
          <w:bCs/>
          <w:i/>
          <w:iCs/>
          <w:sz w:val="24"/>
          <w:szCs w:val="24"/>
        </w:rPr>
        <w:t xml:space="preserve">A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–Sondage d’opinion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 xml:space="preserve"> faite par la société «SEGNA»</w:t>
      </w:r>
      <w:r w:rsidRPr="00943D81">
        <w:rPr>
          <w:rFonts w:asciiTheme="majorHAnsi" w:hAnsiTheme="majorHAnsi"/>
          <w:sz w:val="24"/>
          <w:szCs w:val="24"/>
        </w:rPr>
        <w:t xml:space="preserve"> </w:t>
      </w:r>
    </w:p>
    <w:p w:rsidR="00943D81" w:rsidRDefault="00943D81" w:rsidP="00943D81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21EAB">
        <w:rPr>
          <w:rFonts w:asciiTheme="majorHAnsi" w:hAnsiTheme="majorHAnsi"/>
          <w:b/>
          <w:bCs/>
          <w:i/>
          <w:iCs/>
          <w:sz w:val="24"/>
          <w:szCs w:val="24"/>
        </w:rPr>
        <w:t>En matière d’IS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>3 point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943D81" w:rsidRPr="00943D81" w:rsidRDefault="00943D81" w:rsidP="00943D81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943D81">
        <w:rPr>
          <w:rFonts w:asciiTheme="majorHAnsi" w:hAnsiTheme="majorHAnsi"/>
          <w:sz w:val="24"/>
          <w:szCs w:val="24"/>
        </w:rPr>
        <w:t xml:space="preserve">Le sondage d’opinion </w:t>
      </w:r>
      <w:r>
        <w:rPr>
          <w:rFonts w:asciiTheme="majorHAnsi" w:hAnsiTheme="majorHAnsi"/>
          <w:sz w:val="24"/>
          <w:szCs w:val="24"/>
        </w:rPr>
        <w:t xml:space="preserve">effectué par </w:t>
      </w:r>
      <w:r w:rsidRPr="00943D81">
        <w:rPr>
          <w:rFonts w:asciiTheme="majorHAnsi" w:hAnsiTheme="majorHAnsi"/>
          <w:sz w:val="24"/>
          <w:szCs w:val="24"/>
        </w:rPr>
        <w:t xml:space="preserve">la société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 xml:space="preserve">«SEGNA» </w:t>
      </w:r>
      <w:r w:rsidRPr="00943D81">
        <w:rPr>
          <w:rFonts w:asciiTheme="majorHAnsi" w:hAnsiTheme="majorHAnsi"/>
          <w:sz w:val="24"/>
          <w:szCs w:val="24"/>
        </w:rPr>
        <w:t>portant sur le comportement des Tunisiens vis à vis les programmes diffusés sur les chaines télévisées Tunisiennes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3D81">
        <w:rPr>
          <w:rFonts w:asciiTheme="majorHAnsi" w:hAnsiTheme="majorHAnsi"/>
          <w:sz w:val="24"/>
          <w:szCs w:val="24"/>
        </w:rPr>
        <w:t xml:space="preserve">est identifié par un objet et des besoins généralement exprimés par un cahier de charges et suppose de la part de la personne qui l’exécute successivement une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>constatation</w:t>
      </w:r>
      <w:r w:rsidRPr="00943D81">
        <w:rPr>
          <w:rFonts w:asciiTheme="majorHAnsi" w:hAnsiTheme="majorHAnsi"/>
          <w:sz w:val="24"/>
          <w:szCs w:val="24"/>
        </w:rPr>
        <w:t xml:space="preserve">, une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>analyse</w:t>
      </w:r>
      <w:r w:rsidRPr="00943D81">
        <w:rPr>
          <w:rFonts w:asciiTheme="majorHAnsi" w:hAnsiTheme="majorHAnsi"/>
          <w:sz w:val="24"/>
          <w:szCs w:val="24"/>
        </w:rPr>
        <w:t xml:space="preserve"> et une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>conclusion</w:t>
      </w:r>
      <w:r w:rsidRPr="00943D81">
        <w:rPr>
          <w:rFonts w:asciiTheme="majorHAnsi" w:hAnsiTheme="majorHAnsi"/>
          <w:sz w:val="24"/>
          <w:szCs w:val="24"/>
        </w:rPr>
        <w:t xml:space="preserve"> qui doivent être contenues dans un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>rapport</w:t>
      </w:r>
      <w:r w:rsidRPr="00943D81">
        <w:rPr>
          <w:rFonts w:asciiTheme="majorHAnsi" w:hAnsiTheme="majorHAnsi"/>
          <w:sz w:val="24"/>
          <w:szCs w:val="24"/>
        </w:rPr>
        <w:t xml:space="preserve"> qui devient la propriété exclusive de la personne qui la commande la société </w:t>
      </w:r>
      <w:r w:rsidRPr="00943D81">
        <w:rPr>
          <w:rFonts w:asciiTheme="majorHAnsi" w:hAnsiTheme="majorHAnsi"/>
          <w:b/>
          <w:bCs/>
          <w:sz w:val="24"/>
          <w:szCs w:val="24"/>
        </w:rPr>
        <w:t>«Bara TV»</w:t>
      </w:r>
      <w:r w:rsidRPr="00943D81">
        <w:rPr>
          <w:rFonts w:asciiTheme="majorHAnsi" w:hAnsiTheme="majorHAnsi"/>
          <w:sz w:val="24"/>
          <w:szCs w:val="24"/>
        </w:rPr>
        <w:t>.</w:t>
      </w:r>
    </w:p>
    <w:p w:rsidR="00CD628E" w:rsidRDefault="00943D81" w:rsidP="00CD628E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943D81">
        <w:rPr>
          <w:rFonts w:asciiTheme="majorHAnsi" w:hAnsiTheme="majorHAnsi"/>
          <w:sz w:val="24"/>
          <w:szCs w:val="24"/>
        </w:rPr>
        <w:t xml:space="preserve">En absence d’un établissement stable et en vertu de l’article 12 de la convention de non double imposition </w:t>
      </w:r>
      <w:proofErr w:type="spellStart"/>
      <w:r w:rsidRPr="00943D81">
        <w:rPr>
          <w:rFonts w:asciiTheme="majorHAnsi" w:hAnsiTheme="majorHAnsi"/>
          <w:sz w:val="24"/>
          <w:szCs w:val="24"/>
        </w:rPr>
        <w:t>Tuniso</w:t>
      </w:r>
      <w:proofErr w:type="spellEnd"/>
      <w:r w:rsidRPr="00943D8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Turquie,</w:t>
      </w:r>
      <w:r w:rsidRPr="00943D81">
        <w:rPr>
          <w:rFonts w:asciiTheme="majorHAnsi" w:hAnsiTheme="majorHAnsi"/>
          <w:sz w:val="24"/>
          <w:szCs w:val="24"/>
        </w:rPr>
        <w:t xml:space="preserve"> </w:t>
      </w:r>
      <w:r w:rsidR="00CD628E">
        <w:rPr>
          <w:rFonts w:asciiTheme="majorHAnsi" w:hAnsiTheme="majorHAnsi"/>
          <w:sz w:val="24"/>
          <w:szCs w:val="24"/>
        </w:rPr>
        <w:t xml:space="preserve">le terme étude technique et économique ne figure pas dans la définition de redevance, </w:t>
      </w:r>
      <w:r w:rsidRPr="00943D81">
        <w:rPr>
          <w:rFonts w:asciiTheme="majorHAnsi" w:hAnsiTheme="majorHAnsi"/>
          <w:sz w:val="24"/>
          <w:szCs w:val="24"/>
        </w:rPr>
        <w:t xml:space="preserve">les rémunérations payées à ce titre </w:t>
      </w:r>
      <w:r w:rsidR="00CD628E">
        <w:rPr>
          <w:rFonts w:asciiTheme="majorHAnsi" w:hAnsiTheme="majorHAnsi"/>
          <w:sz w:val="24"/>
          <w:szCs w:val="24"/>
        </w:rPr>
        <w:t xml:space="preserve">ne </w:t>
      </w:r>
      <w:r w:rsidRPr="00943D81">
        <w:rPr>
          <w:rFonts w:asciiTheme="majorHAnsi" w:hAnsiTheme="majorHAnsi"/>
          <w:sz w:val="24"/>
          <w:szCs w:val="24"/>
        </w:rPr>
        <w:t xml:space="preserve">sont </w:t>
      </w:r>
      <w:r w:rsidR="00CD628E">
        <w:rPr>
          <w:rFonts w:asciiTheme="majorHAnsi" w:hAnsiTheme="majorHAnsi"/>
          <w:sz w:val="24"/>
          <w:szCs w:val="24"/>
        </w:rPr>
        <w:t>pas</w:t>
      </w:r>
      <w:r w:rsidRPr="00943D81">
        <w:rPr>
          <w:rFonts w:asciiTheme="majorHAnsi" w:hAnsiTheme="majorHAnsi"/>
          <w:sz w:val="24"/>
          <w:szCs w:val="24"/>
        </w:rPr>
        <w:t xml:space="preserve"> imposable, de ce fait, en Tunisie</w:t>
      </w:r>
      <w:r w:rsidR="00CD628E">
        <w:rPr>
          <w:rFonts w:asciiTheme="majorHAnsi" w:hAnsiTheme="majorHAnsi"/>
          <w:sz w:val="24"/>
          <w:szCs w:val="24"/>
        </w:rPr>
        <w:t>.</w:t>
      </w:r>
    </w:p>
    <w:p w:rsidR="0029237B" w:rsidRPr="00621EAB" w:rsidRDefault="00943D81" w:rsidP="00CD628E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43D81">
        <w:rPr>
          <w:rFonts w:asciiTheme="majorHAnsi" w:hAnsiTheme="majorHAnsi"/>
          <w:sz w:val="24"/>
          <w:szCs w:val="24"/>
        </w:rPr>
        <w:t xml:space="preserve"> </w:t>
      </w:r>
      <w:r w:rsidR="0029237B" w:rsidRPr="00621EAB">
        <w:rPr>
          <w:rFonts w:asciiTheme="majorHAnsi" w:hAnsiTheme="majorHAnsi"/>
          <w:b/>
          <w:bCs/>
          <w:i/>
          <w:iCs/>
          <w:sz w:val="24"/>
          <w:szCs w:val="24"/>
        </w:rPr>
        <w:t>En matière de TVA</w:t>
      </w:r>
      <w:r w:rsidR="0029237B" w:rsidRPr="00FD764D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 w:rsidR="0029237B"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>0 point</w:t>
      </w:r>
      <w:r w:rsidR="0029237B" w:rsidRPr="00FD764D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29237B" w:rsidRDefault="0029237B" w:rsidP="0029237B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AA276B">
        <w:rPr>
          <w:rFonts w:asciiTheme="majorHAnsi" w:hAnsiTheme="majorHAnsi"/>
          <w:sz w:val="24"/>
          <w:szCs w:val="24"/>
        </w:rPr>
        <w:t>Les rémunérations sont la contrepartie d’un service consommé en Tunisie,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elles rentrent donc dans le champ d’application territoriale de la TVA qui est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due au taux de 1</w:t>
      </w:r>
      <w:r>
        <w:rPr>
          <w:rFonts w:asciiTheme="majorHAnsi" w:hAnsiTheme="majorHAnsi"/>
          <w:sz w:val="24"/>
          <w:szCs w:val="24"/>
        </w:rPr>
        <w:t xml:space="preserve">2 </w:t>
      </w:r>
      <w:r w:rsidRPr="00AA276B">
        <w:rPr>
          <w:rFonts w:asciiTheme="majorHAnsi" w:hAnsiTheme="majorHAnsi"/>
          <w:sz w:val="24"/>
          <w:szCs w:val="24"/>
        </w:rPr>
        <w:t>%.</w:t>
      </w:r>
    </w:p>
    <w:p w:rsidR="0029237B" w:rsidRDefault="0029237B" w:rsidP="00BA5780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4139EE">
        <w:rPr>
          <w:rFonts w:asciiTheme="majorHAnsi" w:hAnsiTheme="majorHAnsi"/>
          <w:sz w:val="24"/>
          <w:szCs w:val="24"/>
        </w:rPr>
        <w:t xml:space="preserve">Etant non établie en Tunisie, la société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 xml:space="preserve">«SEGNA» </w:t>
      </w:r>
      <w:r w:rsidRPr="004139EE">
        <w:rPr>
          <w:rFonts w:asciiTheme="majorHAnsi" w:hAnsiTheme="majorHAnsi"/>
          <w:sz w:val="24"/>
          <w:szCs w:val="24"/>
        </w:rPr>
        <w:t xml:space="preserve">sera soumise </w:t>
      </w:r>
      <w:r>
        <w:rPr>
          <w:rFonts w:asciiTheme="majorHAnsi" w:hAnsiTheme="majorHAnsi"/>
          <w:sz w:val="24"/>
          <w:szCs w:val="24"/>
        </w:rPr>
        <w:t>à</w:t>
      </w:r>
      <w:r w:rsidRPr="004139EE">
        <w:rPr>
          <w:rFonts w:asciiTheme="majorHAnsi" w:hAnsiTheme="majorHAnsi"/>
          <w:sz w:val="24"/>
          <w:szCs w:val="24"/>
        </w:rPr>
        <w:t xml:space="preserve"> la retenue </w:t>
      </w:r>
      <w:r>
        <w:rPr>
          <w:rFonts w:asciiTheme="majorHAnsi" w:hAnsiTheme="majorHAnsi"/>
          <w:sz w:val="24"/>
          <w:szCs w:val="24"/>
        </w:rPr>
        <w:t>à</w:t>
      </w:r>
      <w:r w:rsidRPr="004139EE">
        <w:rPr>
          <w:rFonts w:asciiTheme="majorHAnsi" w:hAnsiTheme="majorHAnsi"/>
          <w:sz w:val="24"/>
          <w:szCs w:val="24"/>
        </w:rPr>
        <w:t xml:space="preserve"> la source au titre de la TVA au taux de 100%, et ceux conformément aux dispositions de l’article 19 du code TVA qui stipule</w:t>
      </w:r>
      <w:r>
        <w:rPr>
          <w:rFonts w:asciiTheme="majorHAnsi" w:hAnsiTheme="majorHAnsi"/>
          <w:sz w:val="24"/>
          <w:szCs w:val="24"/>
        </w:rPr>
        <w:t> :</w:t>
      </w:r>
      <w:r w:rsidRPr="004139EE">
        <w:rPr>
          <w:rFonts w:asciiTheme="majorHAnsi" w:hAnsiTheme="majorHAnsi"/>
          <w:sz w:val="24"/>
          <w:szCs w:val="24"/>
        </w:rPr>
        <w:t xml:space="preserve"> «</w:t>
      </w:r>
      <w:r w:rsidRPr="00436061">
        <w:rPr>
          <w:rFonts w:asciiTheme="majorHAnsi" w:hAnsiTheme="majorHAnsi"/>
          <w:sz w:val="24"/>
          <w:szCs w:val="24"/>
        </w:rPr>
        <w:t xml:space="preserve">en cas de réalisation par les personnes morales et les personne physiques n’ayant pas d’établissement en Tunisie d’opérations soumises </w:t>
      </w:r>
      <w:r>
        <w:rPr>
          <w:rFonts w:asciiTheme="majorHAnsi" w:hAnsiTheme="majorHAnsi"/>
          <w:sz w:val="24"/>
          <w:szCs w:val="24"/>
        </w:rPr>
        <w:t>à</w:t>
      </w:r>
      <w:r w:rsidRPr="00436061">
        <w:rPr>
          <w:rFonts w:asciiTheme="majorHAnsi" w:hAnsiTheme="majorHAnsi"/>
          <w:sz w:val="24"/>
          <w:szCs w:val="24"/>
        </w:rPr>
        <w:t xml:space="preserve"> la taxe sur la valeur ajouté, </w:t>
      </w:r>
      <w:r w:rsidRPr="00436061">
        <w:rPr>
          <w:rFonts w:asciiTheme="majorHAnsi" w:hAnsiTheme="majorHAnsi"/>
          <w:b/>
          <w:bCs/>
          <w:i/>
          <w:iCs/>
          <w:sz w:val="24"/>
          <w:szCs w:val="24"/>
        </w:rPr>
        <w:t>leurs clients</w:t>
      </w:r>
      <w:r w:rsidRPr="00436061">
        <w:rPr>
          <w:rFonts w:asciiTheme="majorHAnsi" w:hAnsiTheme="majorHAnsi"/>
          <w:sz w:val="24"/>
          <w:szCs w:val="24"/>
        </w:rPr>
        <w:t xml:space="preserve"> sont tenus de </w:t>
      </w:r>
      <w:r w:rsidRPr="00427628">
        <w:rPr>
          <w:rFonts w:asciiTheme="majorHAnsi" w:hAnsiTheme="majorHAnsi"/>
          <w:b/>
          <w:bCs/>
          <w:i/>
          <w:iCs/>
          <w:sz w:val="24"/>
          <w:szCs w:val="24"/>
        </w:rPr>
        <w:t>retenir</w:t>
      </w:r>
      <w:r w:rsidRPr="00436061">
        <w:rPr>
          <w:rFonts w:asciiTheme="majorHAnsi" w:hAnsiTheme="majorHAnsi"/>
          <w:sz w:val="24"/>
          <w:szCs w:val="24"/>
        </w:rPr>
        <w:t xml:space="preserve"> la taxe sur la valeur ajouté</w:t>
      </w:r>
      <w:r>
        <w:rPr>
          <w:rFonts w:asciiTheme="majorHAnsi" w:hAnsiTheme="majorHAnsi"/>
          <w:sz w:val="24"/>
          <w:szCs w:val="24"/>
        </w:rPr>
        <w:t>e</w:t>
      </w:r>
      <w:r w:rsidRPr="00436061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>û</w:t>
      </w:r>
      <w:r w:rsidRPr="00436061">
        <w:rPr>
          <w:rFonts w:asciiTheme="majorHAnsi" w:hAnsiTheme="majorHAnsi"/>
          <w:sz w:val="24"/>
          <w:szCs w:val="24"/>
        </w:rPr>
        <w:t xml:space="preserve"> au titre de ces opérations. Cette retenue est libératoire de ladite taxe</w:t>
      </w:r>
      <w:r w:rsidRPr="004139EE">
        <w:rPr>
          <w:rFonts w:asciiTheme="majorHAnsi" w:hAnsiTheme="majorHAnsi"/>
          <w:sz w:val="24"/>
          <w:szCs w:val="24"/>
        </w:rPr>
        <w:t>». </w:t>
      </w:r>
    </w:p>
    <w:p w:rsidR="0029237B" w:rsidRDefault="0029237B" w:rsidP="0029237B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  <w:lang w:bidi="ar-TN"/>
        </w:rPr>
      </w:pPr>
      <w:r w:rsidRPr="004139EE">
        <w:rPr>
          <w:rFonts w:asciiTheme="majorHAnsi" w:hAnsiTheme="majorHAnsi"/>
          <w:sz w:val="24"/>
          <w:szCs w:val="24"/>
        </w:rPr>
        <w:t xml:space="preserve"> La TVA retenu à la source est déterminée comme suit </w:t>
      </w:r>
      <w:r>
        <w:rPr>
          <w:rFonts w:asciiTheme="majorHAnsi" w:hAnsiTheme="majorHAnsi"/>
          <w:sz w:val="24"/>
          <w:szCs w:val="24"/>
        </w:rPr>
        <w:t xml:space="preserve">= 118.000,000 </w:t>
      </w:r>
      <w:proofErr w:type="spellStart"/>
      <w:r w:rsidRPr="00F17DC9">
        <w:rPr>
          <w:rFonts w:asciiTheme="majorHAnsi" w:hAnsiTheme="majorHAnsi" w:hint="cs"/>
          <w:sz w:val="24"/>
          <w:szCs w:val="24"/>
          <w:rtl/>
          <w:lang w:val="en-US" w:bidi="ar-TN"/>
        </w:rPr>
        <w:t>×</w:t>
      </w:r>
      <w:proofErr w:type="spellEnd"/>
      <w:r w:rsidRPr="00F17DC9">
        <w:rPr>
          <w:rFonts w:asciiTheme="majorHAnsi" w:hAnsiTheme="majorHAnsi"/>
          <w:sz w:val="24"/>
          <w:szCs w:val="24"/>
        </w:rPr>
        <w:t xml:space="preserve">0,12 </w:t>
      </w:r>
      <w:r w:rsidRPr="00F17DC9">
        <w:rPr>
          <w:rFonts w:asciiTheme="majorHAnsi" w:hAnsiTheme="majorHAnsi"/>
          <w:sz w:val="24"/>
          <w:szCs w:val="24"/>
          <w:lang w:bidi="ar-TN"/>
        </w:rPr>
        <w:t xml:space="preserve">= </w:t>
      </w:r>
      <w:r>
        <w:rPr>
          <w:rFonts w:asciiTheme="majorHAnsi" w:hAnsiTheme="majorHAnsi"/>
          <w:sz w:val="24"/>
          <w:szCs w:val="24"/>
          <w:lang w:bidi="ar-TN"/>
        </w:rPr>
        <w:t>14</w:t>
      </w:r>
      <w:r w:rsidRPr="00F17DC9">
        <w:rPr>
          <w:rFonts w:asciiTheme="majorHAnsi" w:hAnsiTheme="majorHAnsi"/>
          <w:sz w:val="24"/>
          <w:szCs w:val="24"/>
          <w:lang w:bidi="ar-TN"/>
        </w:rPr>
        <w:t>.</w:t>
      </w:r>
      <w:r>
        <w:rPr>
          <w:rFonts w:asciiTheme="majorHAnsi" w:hAnsiTheme="majorHAnsi"/>
          <w:sz w:val="24"/>
          <w:szCs w:val="24"/>
          <w:lang w:bidi="ar-TN"/>
        </w:rPr>
        <w:t>16</w:t>
      </w:r>
      <w:r w:rsidRPr="00F17DC9">
        <w:rPr>
          <w:rFonts w:asciiTheme="majorHAnsi" w:hAnsiTheme="majorHAnsi"/>
          <w:sz w:val="24"/>
          <w:szCs w:val="24"/>
          <w:lang w:bidi="ar-TN"/>
        </w:rPr>
        <w:t>0TND.</w:t>
      </w:r>
    </w:p>
    <w:p w:rsidR="00CD628E" w:rsidRDefault="00CD628E" w:rsidP="0029237B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  <w:lang w:bidi="ar-TN"/>
        </w:rPr>
      </w:pPr>
    </w:p>
    <w:p w:rsidR="0029237B" w:rsidRDefault="0029237B" w:rsidP="0029237B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AA276B">
        <w:rPr>
          <w:rFonts w:asciiTheme="majorHAnsi" w:hAnsiTheme="majorHAnsi"/>
          <w:sz w:val="24"/>
          <w:szCs w:val="24"/>
        </w:rPr>
        <w:lastRenderedPageBreak/>
        <w:t xml:space="preserve">Cependant, la société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>«SEGNA»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 xml:space="preserve">peut toujours </w:t>
      </w:r>
      <w:r w:rsidRPr="00CB2C35">
        <w:rPr>
          <w:rFonts w:asciiTheme="majorHAnsi" w:hAnsiTheme="majorHAnsi"/>
          <w:b/>
          <w:bCs/>
          <w:i/>
          <w:iCs/>
          <w:sz w:val="24"/>
          <w:szCs w:val="24"/>
        </w:rPr>
        <w:t xml:space="preserve">opter </w:t>
      </w:r>
      <w:r w:rsidRPr="00AA276B">
        <w:rPr>
          <w:rFonts w:asciiTheme="majorHAnsi" w:hAnsiTheme="majorHAnsi"/>
          <w:sz w:val="24"/>
          <w:szCs w:val="24"/>
        </w:rPr>
        <w:t>pour son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assujettissement à la TVA selon le régime de droit commun. Dans ce cas</w:t>
      </w:r>
      <w:r>
        <w:rPr>
          <w:rFonts w:asciiTheme="majorHAnsi" w:hAnsiTheme="majorHAnsi"/>
          <w:sz w:val="24"/>
          <w:szCs w:val="24"/>
        </w:rPr>
        <w:t>,</w:t>
      </w:r>
      <w:r w:rsidRPr="00AA276B">
        <w:rPr>
          <w:rFonts w:asciiTheme="majorHAnsi" w:hAnsiTheme="majorHAnsi"/>
          <w:sz w:val="24"/>
          <w:szCs w:val="24"/>
        </w:rPr>
        <w:t xml:space="preserve"> elle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bénéficie de la déduction de la TVA ayant grevé les marchandises et les services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nécessaires à la réalisation des opérations soumises à ladite taxe. En cas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d’apparition d’un crédit de taxe, ce dernier est remboursable conformément à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législation en vigueur.</w:t>
      </w:r>
    </w:p>
    <w:p w:rsidR="0029237B" w:rsidRPr="00943D81" w:rsidRDefault="0029237B" w:rsidP="0029237B">
      <w:p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B</w:t>
      </w:r>
      <w:r w:rsidRPr="00A043A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–A</w:t>
      </w:r>
      <w:r w:rsidRPr="0029237B">
        <w:rPr>
          <w:rFonts w:asciiTheme="majorHAnsi" w:hAnsiTheme="majorHAnsi"/>
          <w:b/>
          <w:bCs/>
          <w:i/>
          <w:iCs/>
          <w:sz w:val="24"/>
          <w:szCs w:val="24"/>
        </w:rPr>
        <w:t>chat de programmes télévisés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auprès de </w:t>
      </w:r>
      <w:r w:rsidRPr="00943D81">
        <w:rPr>
          <w:rFonts w:asciiTheme="majorHAnsi" w:hAnsiTheme="majorHAnsi"/>
          <w:b/>
          <w:bCs/>
          <w:i/>
          <w:iCs/>
          <w:sz w:val="24"/>
          <w:szCs w:val="24"/>
        </w:rPr>
        <w:t xml:space="preserve">la société </w:t>
      </w:r>
      <w:r w:rsidRPr="008046B2">
        <w:rPr>
          <w:rFonts w:asciiTheme="majorHAnsi" w:hAnsiTheme="majorHAnsi"/>
          <w:b/>
          <w:bCs/>
          <w:i/>
          <w:iCs/>
          <w:sz w:val="24"/>
          <w:szCs w:val="24"/>
        </w:rPr>
        <w:t>«Oméga»</w:t>
      </w:r>
    </w:p>
    <w:p w:rsidR="0029237B" w:rsidRDefault="0029237B" w:rsidP="0029237B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21EAB">
        <w:rPr>
          <w:rFonts w:asciiTheme="majorHAnsi" w:hAnsiTheme="majorHAnsi"/>
          <w:b/>
          <w:bCs/>
          <w:i/>
          <w:iCs/>
          <w:sz w:val="24"/>
          <w:szCs w:val="24"/>
        </w:rPr>
        <w:t>En matière d’IS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>3 point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29237B" w:rsidRDefault="0029237B" w:rsidP="003339C9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29237B">
        <w:rPr>
          <w:rFonts w:asciiTheme="majorHAnsi" w:hAnsiTheme="majorHAnsi"/>
          <w:sz w:val="24"/>
          <w:szCs w:val="24"/>
        </w:rPr>
        <w:t xml:space="preserve">Le terme </w:t>
      </w:r>
      <w:r w:rsidRPr="0029237B">
        <w:rPr>
          <w:rFonts w:asciiTheme="majorHAnsi" w:hAnsiTheme="majorHAnsi"/>
          <w:b/>
          <w:bCs/>
          <w:i/>
          <w:iCs/>
          <w:sz w:val="24"/>
          <w:szCs w:val="24"/>
        </w:rPr>
        <w:t>«redevances»</w:t>
      </w:r>
      <w:r w:rsidRPr="0029237B">
        <w:rPr>
          <w:rFonts w:asciiTheme="majorHAnsi" w:hAnsiTheme="majorHAnsi"/>
          <w:sz w:val="24"/>
          <w:szCs w:val="24"/>
        </w:rPr>
        <w:t xml:space="preserve"> employé dans </w:t>
      </w:r>
      <w:r w:rsidR="003339C9" w:rsidRPr="003E08DD">
        <w:rPr>
          <w:rFonts w:asciiTheme="majorHAnsi" w:hAnsiTheme="majorHAnsi"/>
          <w:sz w:val="24"/>
          <w:szCs w:val="24"/>
        </w:rPr>
        <w:t xml:space="preserve">l’article 12 de la convention </w:t>
      </w:r>
      <w:proofErr w:type="spellStart"/>
      <w:r w:rsidR="003339C9" w:rsidRPr="00FF49F1">
        <w:rPr>
          <w:rFonts w:asciiTheme="majorHAnsi" w:hAnsiTheme="majorHAnsi"/>
          <w:sz w:val="24"/>
          <w:szCs w:val="24"/>
        </w:rPr>
        <w:t>Tuniso</w:t>
      </w:r>
      <w:proofErr w:type="spellEnd"/>
      <w:r w:rsidR="003339C9" w:rsidRPr="00FF49F1">
        <w:rPr>
          <w:rFonts w:asciiTheme="majorHAnsi" w:hAnsiTheme="majorHAnsi"/>
          <w:sz w:val="24"/>
          <w:szCs w:val="24"/>
        </w:rPr>
        <w:t>-</w:t>
      </w:r>
      <w:r w:rsidR="003339C9">
        <w:rPr>
          <w:rFonts w:asciiTheme="majorHAnsi" w:hAnsiTheme="majorHAnsi"/>
          <w:sz w:val="24"/>
          <w:szCs w:val="24"/>
        </w:rPr>
        <w:t>Turquie</w:t>
      </w:r>
      <w:r w:rsidR="003339C9" w:rsidRPr="003E08DD">
        <w:rPr>
          <w:rFonts w:asciiTheme="majorHAnsi" w:hAnsiTheme="majorHAnsi"/>
          <w:sz w:val="24"/>
          <w:szCs w:val="24"/>
        </w:rPr>
        <w:t xml:space="preserve"> de non double</w:t>
      </w:r>
      <w:r w:rsidR="003339C9">
        <w:rPr>
          <w:rFonts w:asciiTheme="majorHAnsi" w:hAnsiTheme="majorHAnsi"/>
          <w:sz w:val="24"/>
          <w:szCs w:val="24"/>
        </w:rPr>
        <w:t xml:space="preserve"> </w:t>
      </w:r>
      <w:r w:rsidR="003339C9" w:rsidRPr="003E08DD">
        <w:rPr>
          <w:rFonts w:asciiTheme="majorHAnsi" w:hAnsiTheme="majorHAnsi"/>
          <w:sz w:val="24"/>
          <w:szCs w:val="24"/>
        </w:rPr>
        <w:t>imposition</w:t>
      </w:r>
      <w:r w:rsidR="003339C9" w:rsidRPr="0029237B"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désigne les rémunérations de toute nature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payées pour l’usage ou la concession de l’usage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d’un droit d’</w:t>
      </w:r>
      <w:r>
        <w:rPr>
          <w:rFonts w:asciiTheme="majorHAnsi" w:hAnsiTheme="majorHAnsi"/>
          <w:sz w:val="24"/>
          <w:szCs w:val="24"/>
        </w:rPr>
        <w:t xml:space="preserve">auteur sur une </w:t>
      </w:r>
      <w:r w:rsidRPr="0029237B">
        <w:rPr>
          <w:rFonts w:asciiTheme="majorHAnsi" w:hAnsiTheme="majorHAnsi"/>
          <w:sz w:val="24"/>
          <w:szCs w:val="24"/>
        </w:rPr>
        <w:t>œuvre littéraire, artistique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 xml:space="preserve">ou scientifique, y compris les </w:t>
      </w:r>
      <w:r w:rsidRPr="003339C9">
        <w:rPr>
          <w:rFonts w:asciiTheme="majorHAnsi" w:hAnsiTheme="majorHAnsi"/>
          <w:b/>
          <w:bCs/>
          <w:i/>
          <w:iCs/>
          <w:sz w:val="24"/>
          <w:szCs w:val="24"/>
        </w:rPr>
        <w:t>films cinématographiques</w:t>
      </w:r>
      <w:r w:rsidRPr="0029237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339C9">
        <w:rPr>
          <w:rFonts w:asciiTheme="majorHAnsi" w:hAnsiTheme="majorHAnsi"/>
          <w:b/>
          <w:bCs/>
          <w:i/>
          <w:iCs/>
          <w:sz w:val="24"/>
          <w:szCs w:val="24"/>
        </w:rPr>
        <w:t>enregistrement pour transmission radiophonique et télévisée</w:t>
      </w:r>
      <w:r w:rsidRPr="0029237B">
        <w:rPr>
          <w:rFonts w:asciiTheme="majorHAnsi" w:hAnsiTheme="majorHAnsi"/>
          <w:sz w:val="24"/>
          <w:szCs w:val="24"/>
        </w:rPr>
        <w:t>, d’un brevet, d’une marque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de fabrique ou de commerce, d’un dessin 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d’un modèle, d’un plan, d’une formule ou d’un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procédé secret ainsi que pour l’usage ou la concession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de l’usage d’un équipement industriel, commercial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ou scientifique et pour des informations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ayant trait à une expérience acquise dans le domaine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industriel, commercial ou scientifique.</w:t>
      </w:r>
    </w:p>
    <w:p w:rsidR="003339C9" w:rsidRPr="00943D81" w:rsidRDefault="003339C9" w:rsidP="003339C9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absence d’un établissement stable </w:t>
      </w:r>
      <w:r w:rsidRPr="00943D81">
        <w:rPr>
          <w:rFonts w:asciiTheme="majorHAnsi" w:hAnsiTheme="majorHAnsi"/>
          <w:sz w:val="24"/>
          <w:szCs w:val="24"/>
        </w:rPr>
        <w:t xml:space="preserve">et en vertu de l’article 12 de la convention de non double imposition </w:t>
      </w:r>
      <w:proofErr w:type="spellStart"/>
      <w:r w:rsidRPr="00943D81">
        <w:rPr>
          <w:rFonts w:asciiTheme="majorHAnsi" w:hAnsiTheme="majorHAnsi"/>
          <w:sz w:val="24"/>
          <w:szCs w:val="24"/>
        </w:rPr>
        <w:t>Tuniso</w:t>
      </w:r>
      <w:proofErr w:type="spellEnd"/>
      <w:r w:rsidRPr="00943D8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Turquie, seule </w:t>
      </w:r>
      <w:r w:rsidRPr="003339C9">
        <w:rPr>
          <w:rFonts w:asciiTheme="majorHAnsi" w:hAnsiTheme="majorHAnsi"/>
          <w:b/>
          <w:bCs/>
          <w:i/>
          <w:iCs/>
          <w:sz w:val="24"/>
          <w:szCs w:val="24"/>
        </w:rPr>
        <w:t>les films</w:t>
      </w:r>
      <w:r>
        <w:rPr>
          <w:rFonts w:asciiTheme="majorHAnsi" w:hAnsiTheme="majorHAnsi"/>
          <w:sz w:val="24"/>
          <w:szCs w:val="24"/>
        </w:rPr>
        <w:t xml:space="preserve"> </w:t>
      </w:r>
      <w:r w:rsidRPr="003339C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100 ans de solitude) qui r</w:t>
      </w:r>
      <w:r>
        <w:rPr>
          <w:rFonts w:asciiTheme="majorHAnsi" w:hAnsiTheme="majorHAnsi"/>
          <w:sz w:val="24"/>
          <w:szCs w:val="24"/>
          <w:lang w:bidi="ar-TN"/>
        </w:rPr>
        <w:t xml:space="preserve">épondent à la définition du terme </w:t>
      </w:r>
      <w:r w:rsidRPr="00FB15C4">
        <w:rPr>
          <w:rFonts w:asciiTheme="majorHAnsi" w:hAnsiTheme="majorHAnsi"/>
          <w:b/>
          <w:bCs/>
          <w:i/>
          <w:iCs/>
          <w:sz w:val="24"/>
          <w:szCs w:val="24"/>
        </w:rPr>
        <w:t>«redevance»</w:t>
      </w:r>
      <w:r w:rsidRPr="003E08DD">
        <w:rPr>
          <w:rFonts w:asciiTheme="majorHAnsi" w:hAnsiTheme="majorHAnsi"/>
          <w:sz w:val="24"/>
          <w:szCs w:val="24"/>
        </w:rPr>
        <w:t xml:space="preserve">, </w:t>
      </w:r>
      <w:r w:rsidRPr="00943D81">
        <w:rPr>
          <w:rFonts w:asciiTheme="majorHAnsi" w:hAnsiTheme="majorHAnsi"/>
          <w:sz w:val="24"/>
          <w:szCs w:val="24"/>
        </w:rPr>
        <w:t xml:space="preserve">et sont imposable, de ce fait, en Tunisie par voie de retenue à la source libératoire au taux de 10% de leur montant brut, soit : </w:t>
      </w:r>
      <w:r>
        <w:rPr>
          <w:rFonts w:asciiTheme="majorHAnsi" w:hAnsiTheme="majorHAnsi"/>
          <w:sz w:val="24"/>
          <w:szCs w:val="24"/>
        </w:rPr>
        <w:t>25</w:t>
      </w:r>
      <w:r w:rsidRPr="00943D81">
        <w:rPr>
          <w:rFonts w:asciiTheme="majorHAnsi" w:hAnsiTheme="majorHAnsi"/>
          <w:sz w:val="24"/>
          <w:szCs w:val="24"/>
        </w:rPr>
        <w:t xml:space="preserve">.000,000 x  10 % = </w:t>
      </w:r>
      <w:r>
        <w:rPr>
          <w:rFonts w:asciiTheme="majorHAnsi" w:hAnsiTheme="majorHAnsi"/>
          <w:sz w:val="24"/>
          <w:szCs w:val="24"/>
        </w:rPr>
        <w:t>2</w:t>
      </w:r>
      <w:r w:rsidRPr="00943D8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500</w:t>
      </w:r>
      <w:r w:rsidRPr="00943D81">
        <w:rPr>
          <w:rFonts w:asciiTheme="majorHAnsi" w:hAnsiTheme="majorHAnsi"/>
          <w:sz w:val="24"/>
          <w:szCs w:val="24"/>
        </w:rPr>
        <w:t xml:space="preserve"> TND.</w:t>
      </w:r>
    </w:p>
    <w:p w:rsidR="003339C9" w:rsidRDefault="003339C9" w:rsidP="003339C9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2374E">
        <w:rPr>
          <w:rFonts w:asciiTheme="majorHAnsi" w:hAnsiTheme="majorHAnsi"/>
          <w:b/>
          <w:bCs/>
          <w:i/>
          <w:iCs/>
          <w:sz w:val="24"/>
          <w:szCs w:val="24"/>
        </w:rPr>
        <w:t>Remarque :</w:t>
      </w:r>
      <w:r>
        <w:rPr>
          <w:rFonts w:asciiTheme="majorHAnsi" w:hAnsiTheme="majorHAnsi"/>
          <w:sz w:val="24"/>
          <w:szCs w:val="24"/>
        </w:rPr>
        <w:t xml:space="preserve"> </w:t>
      </w:r>
      <w:r w:rsidRPr="003339C9">
        <w:rPr>
          <w:rFonts w:asciiTheme="majorHAnsi" w:hAnsiTheme="majorHAnsi"/>
          <w:sz w:val="24"/>
          <w:szCs w:val="24"/>
        </w:rPr>
        <w:t>En absence d’une véritable instalation fixe d’affaire la société</w:t>
      </w:r>
      <w:r w:rsidRPr="006838A0">
        <w:rPr>
          <w:rFonts w:asciiTheme="majorHAnsi" w:hAnsiTheme="majorHAnsi"/>
        </w:rPr>
        <w:t xml:space="preserve"> </w:t>
      </w:r>
      <w:r w:rsidRPr="008046B2">
        <w:rPr>
          <w:rFonts w:asciiTheme="majorHAnsi" w:hAnsiTheme="majorHAnsi"/>
          <w:b/>
          <w:bCs/>
          <w:i/>
          <w:iCs/>
          <w:sz w:val="24"/>
          <w:szCs w:val="24"/>
        </w:rPr>
        <w:t>«Oméga»</w:t>
      </w:r>
      <w:r>
        <w:rPr>
          <w:rFonts w:asciiTheme="majorHAnsi" w:hAnsiTheme="majorHAnsi"/>
          <w:b/>
          <w:bCs/>
          <w:i/>
          <w:iCs/>
        </w:rPr>
        <w:t>,</w:t>
      </w:r>
      <w:r w:rsidRPr="006838A0">
        <w:rPr>
          <w:rFonts w:asciiTheme="majorHAnsi" w:hAnsiTheme="majorHAnsi"/>
          <w:b/>
          <w:bCs/>
          <w:i/>
          <w:iCs/>
        </w:rPr>
        <w:t xml:space="preserve"> </w:t>
      </w:r>
      <w:r w:rsidRPr="003339C9">
        <w:rPr>
          <w:rFonts w:asciiTheme="majorHAnsi" w:hAnsiTheme="majorHAnsi"/>
          <w:sz w:val="24"/>
          <w:szCs w:val="24"/>
        </w:rPr>
        <w:t>peut néanmoins, avoir un établissement  stable dans l’hypothèse ou elle exerce une gestion adéquate de l’unité hôtelière par l’intermédiaire de ces deux cadres</w:t>
      </w:r>
      <w:r w:rsidRPr="001B3331">
        <w:rPr>
          <w:rFonts w:asciiTheme="majorHAnsi" w:hAnsiTheme="majorHAnsi"/>
          <w:sz w:val="24"/>
          <w:szCs w:val="24"/>
        </w:rPr>
        <w:t xml:space="preserve"> </w:t>
      </w:r>
      <w:r w:rsidRPr="003339C9">
        <w:rPr>
          <w:rFonts w:asciiTheme="majorHAnsi" w:hAnsiTheme="majorHAnsi"/>
          <w:sz w:val="24"/>
          <w:szCs w:val="24"/>
        </w:rPr>
        <w:t>agissant pour son</w:t>
      </w:r>
      <w:r w:rsidRPr="006838A0">
        <w:rPr>
          <w:rFonts w:asciiTheme="majorHAnsi" w:hAnsiTheme="majorHAnsi"/>
        </w:rPr>
        <w:t xml:space="preserve"> </w:t>
      </w:r>
      <w:r w:rsidRPr="006838A0">
        <w:rPr>
          <w:rFonts w:asciiTheme="majorHAnsi" w:hAnsiTheme="majorHAnsi"/>
          <w:b/>
          <w:bCs/>
          <w:i/>
          <w:iCs/>
        </w:rPr>
        <w:t>propre compte</w:t>
      </w:r>
      <w:r w:rsidRPr="006838A0">
        <w:rPr>
          <w:rFonts w:asciiTheme="majorHAnsi" w:hAnsiTheme="majorHAnsi"/>
        </w:rPr>
        <w:t xml:space="preserve">. </w:t>
      </w:r>
      <w:r w:rsidRPr="003339C9">
        <w:rPr>
          <w:rFonts w:asciiTheme="majorHAnsi" w:hAnsiTheme="majorHAnsi"/>
          <w:sz w:val="24"/>
          <w:szCs w:val="24"/>
        </w:rPr>
        <w:t>Il faut que les deux agents remplissent cumulativement les conditions suivantes :</w:t>
      </w:r>
    </w:p>
    <w:p w:rsidR="003339C9" w:rsidRPr="0052374E" w:rsidRDefault="003339C9" w:rsidP="003339C9">
      <w:pPr>
        <w:pStyle w:val="Paragraphedeliste"/>
        <w:numPr>
          <w:ilvl w:val="0"/>
          <w:numId w:val="39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2374E">
        <w:rPr>
          <w:rFonts w:asciiTheme="majorHAnsi" w:hAnsiTheme="majorHAnsi"/>
          <w:b/>
          <w:bCs/>
          <w:sz w:val="24"/>
          <w:szCs w:val="24"/>
        </w:rPr>
        <w:t>Agent</w:t>
      </w:r>
      <w:r w:rsidRPr="0052374E">
        <w:rPr>
          <w:rFonts w:asciiTheme="majorHAnsi" w:hAnsiTheme="majorHAnsi"/>
          <w:sz w:val="24"/>
          <w:szCs w:val="24"/>
        </w:rPr>
        <w:t xml:space="preserve"> </w:t>
      </w:r>
      <w:r w:rsidRPr="0052374E">
        <w:rPr>
          <w:rFonts w:asciiTheme="majorHAnsi" w:hAnsiTheme="majorHAnsi"/>
          <w:b/>
          <w:bCs/>
          <w:sz w:val="24"/>
          <w:szCs w:val="24"/>
        </w:rPr>
        <w:t>dépendant</w:t>
      </w:r>
    </w:p>
    <w:p w:rsidR="003339C9" w:rsidRDefault="003339C9" w:rsidP="003339C9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être qualifié comme établissement stable, les deux cadres doivent donc </w:t>
      </w:r>
      <w:r w:rsidRPr="00DC67A0">
        <w:rPr>
          <w:rFonts w:asciiTheme="majorHAnsi" w:hAnsiTheme="majorHAnsi"/>
          <w:b/>
          <w:bCs/>
          <w:i/>
          <w:iCs/>
          <w:sz w:val="24"/>
          <w:szCs w:val="24"/>
        </w:rPr>
        <w:t>être dépendant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c'est-à-dire ils doivent être placés sous la </w:t>
      </w:r>
      <w:r w:rsidRPr="00DC67A0">
        <w:rPr>
          <w:rFonts w:asciiTheme="majorHAnsi" w:hAnsiTheme="majorHAnsi"/>
          <w:b/>
          <w:bCs/>
          <w:i/>
          <w:iCs/>
          <w:sz w:val="24"/>
          <w:szCs w:val="24"/>
        </w:rPr>
        <w:t>subordination juridique / économique</w:t>
      </w:r>
      <w:r>
        <w:rPr>
          <w:rFonts w:asciiTheme="majorHAnsi" w:hAnsiTheme="majorHAnsi"/>
          <w:sz w:val="24"/>
          <w:szCs w:val="24"/>
        </w:rPr>
        <w:t xml:space="preserve"> de l’entreprise </w:t>
      </w:r>
      <w:r w:rsidRPr="00295461">
        <w:rPr>
          <w:rFonts w:asciiTheme="majorHAnsi" w:hAnsiTheme="majorHAnsi"/>
          <w:b/>
          <w:bCs/>
          <w:i/>
          <w:iCs/>
          <w:sz w:val="24"/>
          <w:szCs w:val="24"/>
        </w:rPr>
        <w:t>« Cinq Etoile »</w:t>
      </w:r>
      <w:r>
        <w:rPr>
          <w:rFonts w:asciiTheme="majorHAnsi" w:hAnsiTheme="majorHAnsi"/>
          <w:sz w:val="24"/>
          <w:szCs w:val="24"/>
        </w:rPr>
        <w:t>.</w:t>
      </w:r>
    </w:p>
    <w:p w:rsidR="00CD628E" w:rsidRDefault="00CD628E" w:rsidP="003339C9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3339C9" w:rsidRPr="0052374E" w:rsidRDefault="003339C9" w:rsidP="003339C9">
      <w:pPr>
        <w:pStyle w:val="Paragraphedeliste"/>
        <w:numPr>
          <w:ilvl w:val="0"/>
          <w:numId w:val="39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2374E">
        <w:rPr>
          <w:rFonts w:asciiTheme="majorHAnsi" w:hAnsiTheme="majorHAnsi"/>
          <w:b/>
          <w:bCs/>
          <w:sz w:val="24"/>
          <w:szCs w:val="24"/>
        </w:rPr>
        <w:lastRenderedPageBreak/>
        <w:t>L’agent</w:t>
      </w:r>
      <w:r w:rsidRPr="0052374E">
        <w:rPr>
          <w:rFonts w:asciiTheme="majorHAnsi" w:hAnsiTheme="majorHAnsi"/>
          <w:sz w:val="24"/>
          <w:szCs w:val="24"/>
        </w:rPr>
        <w:t xml:space="preserve"> </w:t>
      </w:r>
      <w:r w:rsidRPr="0052374E">
        <w:rPr>
          <w:rFonts w:asciiTheme="majorHAnsi" w:hAnsiTheme="majorHAnsi"/>
          <w:b/>
          <w:bCs/>
          <w:sz w:val="24"/>
          <w:szCs w:val="24"/>
        </w:rPr>
        <w:t>doit être habilité à traiter les contrats de l’entreprise</w:t>
      </w:r>
    </w:p>
    <w:p w:rsidR="003339C9" w:rsidRDefault="003339C9" w:rsidP="003339C9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933F2">
        <w:rPr>
          <w:rFonts w:asciiTheme="majorHAnsi" w:hAnsiTheme="majorHAnsi"/>
          <w:sz w:val="24"/>
          <w:szCs w:val="24"/>
        </w:rPr>
        <w:t>Le critère de dépendance de</w:t>
      </w:r>
      <w:r>
        <w:rPr>
          <w:rFonts w:asciiTheme="majorHAnsi" w:hAnsiTheme="majorHAnsi"/>
          <w:sz w:val="24"/>
          <w:szCs w:val="24"/>
        </w:rPr>
        <w:t>s deux</w:t>
      </w:r>
      <w:r w:rsidRPr="005933F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cadres</w:t>
      </w:r>
      <w:r w:rsidRPr="005933F2">
        <w:rPr>
          <w:rFonts w:asciiTheme="majorHAnsi" w:hAnsiTheme="majorHAnsi"/>
          <w:sz w:val="24"/>
          <w:szCs w:val="24"/>
        </w:rPr>
        <w:t xml:space="preserve"> qui agi</w:t>
      </w:r>
      <w:r>
        <w:rPr>
          <w:rFonts w:asciiTheme="majorHAnsi" w:hAnsiTheme="majorHAnsi"/>
          <w:sz w:val="24"/>
          <w:szCs w:val="24"/>
        </w:rPr>
        <w:t>ssent</w:t>
      </w:r>
      <w:r w:rsidRPr="005933F2">
        <w:rPr>
          <w:rFonts w:asciiTheme="majorHAnsi" w:hAnsiTheme="majorHAnsi"/>
          <w:sz w:val="24"/>
          <w:szCs w:val="24"/>
        </w:rPr>
        <w:t xml:space="preserve"> pour le compte de l’entreprise étrangère ne constitue pas à lui seul une condition suffisante pour la qualification d’un établissement stable. Les deux modèles de convention ajoute</w:t>
      </w:r>
      <w:r>
        <w:rPr>
          <w:rFonts w:asciiTheme="majorHAnsi" w:hAnsiTheme="majorHAnsi"/>
          <w:sz w:val="24"/>
          <w:szCs w:val="24"/>
        </w:rPr>
        <w:t>nt</w:t>
      </w:r>
      <w:r w:rsidRPr="005933F2">
        <w:rPr>
          <w:rFonts w:asciiTheme="majorHAnsi" w:hAnsiTheme="majorHAnsi"/>
          <w:sz w:val="24"/>
          <w:szCs w:val="24"/>
        </w:rPr>
        <w:t xml:space="preserve"> une seconde condition principale, </w:t>
      </w:r>
      <w:r>
        <w:rPr>
          <w:rFonts w:asciiTheme="majorHAnsi" w:hAnsiTheme="majorHAnsi"/>
          <w:sz w:val="24"/>
          <w:szCs w:val="24"/>
        </w:rPr>
        <w:t>à</w:t>
      </w:r>
      <w:r w:rsidRPr="005933F2">
        <w:rPr>
          <w:rFonts w:asciiTheme="majorHAnsi" w:hAnsiTheme="majorHAnsi"/>
          <w:sz w:val="24"/>
          <w:szCs w:val="24"/>
        </w:rPr>
        <w:t xml:space="preserve"> savoir, le fait que ce</w:t>
      </w:r>
      <w:r>
        <w:rPr>
          <w:rFonts w:asciiTheme="majorHAnsi" w:hAnsiTheme="majorHAnsi"/>
          <w:sz w:val="24"/>
          <w:szCs w:val="24"/>
        </w:rPr>
        <w:t>s cadres</w:t>
      </w:r>
      <w:r w:rsidRPr="005933F2">
        <w:rPr>
          <w:rFonts w:asciiTheme="majorHAnsi" w:hAnsiTheme="majorHAnsi"/>
          <w:sz w:val="24"/>
          <w:szCs w:val="24"/>
        </w:rPr>
        <w:t xml:space="preserve"> dispose</w:t>
      </w:r>
      <w:r>
        <w:rPr>
          <w:rFonts w:asciiTheme="majorHAnsi" w:hAnsiTheme="majorHAnsi"/>
          <w:sz w:val="24"/>
          <w:szCs w:val="24"/>
        </w:rPr>
        <w:t>nt</w:t>
      </w:r>
      <w:r w:rsidRPr="005933F2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>s</w:t>
      </w:r>
      <w:r w:rsidRPr="005933F2">
        <w:rPr>
          <w:rFonts w:asciiTheme="majorHAnsi" w:hAnsiTheme="majorHAnsi"/>
          <w:sz w:val="24"/>
          <w:szCs w:val="24"/>
        </w:rPr>
        <w:t xml:space="preserve"> </w:t>
      </w:r>
      <w:r w:rsidRPr="00B5213C">
        <w:rPr>
          <w:rFonts w:asciiTheme="majorHAnsi" w:hAnsiTheme="majorHAnsi"/>
          <w:b/>
          <w:bCs/>
          <w:i/>
          <w:iCs/>
          <w:sz w:val="24"/>
          <w:szCs w:val="24"/>
        </w:rPr>
        <w:t>pouvoirs</w:t>
      </w:r>
      <w:r w:rsidRPr="005933F2">
        <w:rPr>
          <w:rFonts w:asciiTheme="majorHAnsi" w:hAnsiTheme="majorHAnsi"/>
          <w:sz w:val="24"/>
          <w:szCs w:val="24"/>
        </w:rPr>
        <w:t xml:space="preserve"> lui permettant de </w:t>
      </w:r>
      <w:r w:rsidRPr="005933F2">
        <w:rPr>
          <w:rFonts w:asciiTheme="majorHAnsi" w:hAnsiTheme="majorHAnsi"/>
          <w:b/>
          <w:bCs/>
          <w:i/>
          <w:iCs/>
          <w:sz w:val="24"/>
          <w:szCs w:val="24"/>
        </w:rPr>
        <w:t>conclure des contrats</w:t>
      </w:r>
      <w:r w:rsidRPr="005933F2">
        <w:rPr>
          <w:rFonts w:asciiTheme="majorHAnsi" w:hAnsiTheme="majorHAnsi"/>
          <w:sz w:val="24"/>
          <w:szCs w:val="24"/>
        </w:rPr>
        <w:t xml:space="preserve"> au nom de l’entreprise et qu’elle exerce </w:t>
      </w:r>
      <w:r w:rsidRPr="005933F2">
        <w:rPr>
          <w:rFonts w:asciiTheme="majorHAnsi" w:hAnsiTheme="majorHAnsi"/>
          <w:b/>
          <w:bCs/>
          <w:i/>
          <w:iCs/>
          <w:sz w:val="24"/>
          <w:szCs w:val="24"/>
        </w:rPr>
        <w:t>habituellement ces pouvoirs</w:t>
      </w:r>
      <w:r w:rsidRPr="005933F2">
        <w:rPr>
          <w:rFonts w:asciiTheme="majorHAnsi" w:hAnsiTheme="majorHAnsi"/>
          <w:sz w:val="24"/>
          <w:szCs w:val="24"/>
        </w:rPr>
        <w:t>.</w:t>
      </w:r>
    </w:p>
    <w:p w:rsidR="003339C9" w:rsidRPr="00621EAB" w:rsidRDefault="003339C9" w:rsidP="003339C9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21EAB">
        <w:rPr>
          <w:rFonts w:asciiTheme="majorHAnsi" w:hAnsiTheme="majorHAnsi"/>
          <w:b/>
          <w:bCs/>
          <w:i/>
          <w:iCs/>
          <w:sz w:val="24"/>
          <w:szCs w:val="24"/>
        </w:rPr>
        <w:t>En matière de TVA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>0 point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3339C9" w:rsidRDefault="003339C9" w:rsidP="00690AD2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AA276B">
        <w:rPr>
          <w:rFonts w:asciiTheme="majorHAnsi" w:hAnsiTheme="majorHAnsi"/>
          <w:sz w:val="24"/>
          <w:szCs w:val="24"/>
        </w:rPr>
        <w:t>Les rémunérations sont la contrepartie d’un service consommé en Tunisi</w:t>
      </w:r>
      <w:r w:rsidR="00BA5780">
        <w:rPr>
          <w:rFonts w:asciiTheme="majorHAnsi" w:hAnsiTheme="majorHAnsi"/>
          <w:sz w:val="24"/>
          <w:szCs w:val="24"/>
        </w:rPr>
        <w:t xml:space="preserve">e. Toutefois, les films </w:t>
      </w:r>
      <w:r w:rsidR="00BA5780" w:rsidRPr="00BA5780">
        <w:rPr>
          <w:rFonts w:asciiTheme="majorHAnsi" w:hAnsiTheme="majorHAnsi"/>
          <w:sz w:val="24"/>
          <w:szCs w:val="24"/>
        </w:rPr>
        <w:t>cinématographiques</w:t>
      </w:r>
      <w:r w:rsidR="00BA5780">
        <w:rPr>
          <w:rFonts w:asciiTheme="majorHAnsi" w:hAnsiTheme="majorHAnsi"/>
          <w:sz w:val="24"/>
          <w:szCs w:val="24"/>
        </w:rPr>
        <w:t xml:space="preserve"> sont</w:t>
      </w:r>
      <w:r>
        <w:rPr>
          <w:rFonts w:asciiTheme="majorHAnsi" w:hAnsiTheme="majorHAnsi"/>
          <w:sz w:val="24"/>
          <w:szCs w:val="24"/>
        </w:rPr>
        <w:t xml:space="preserve"> exonéré</w:t>
      </w:r>
      <w:r w:rsidR="00BA578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par le</w:t>
      </w:r>
      <w:r w:rsidR="00BA5780">
        <w:rPr>
          <w:rFonts w:asciiTheme="majorHAnsi" w:hAnsiTheme="majorHAnsi"/>
          <w:sz w:val="24"/>
          <w:szCs w:val="24"/>
        </w:rPr>
        <w:t xml:space="preserve"> point</w:t>
      </w:r>
      <w:r w:rsidR="00690AD2">
        <w:rPr>
          <w:rFonts w:asciiTheme="majorHAnsi" w:hAnsiTheme="majorHAnsi"/>
          <w:sz w:val="24"/>
          <w:szCs w:val="24"/>
        </w:rPr>
        <w:t xml:space="preserve"> 23 a</w:t>
      </w:r>
      <w:r w:rsidR="00BA5780">
        <w:rPr>
          <w:rFonts w:asciiTheme="majorHAnsi" w:hAnsiTheme="majorHAnsi"/>
          <w:sz w:val="24"/>
          <w:szCs w:val="24"/>
        </w:rPr>
        <w:t xml:space="preserve"> </w:t>
      </w:r>
      <w:r w:rsidR="00690AD2">
        <w:rPr>
          <w:rFonts w:asciiTheme="majorHAnsi" w:hAnsiTheme="majorHAnsi"/>
          <w:sz w:val="24"/>
          <w:szCs w:val="24"/>
        </w:rPr>
        <w:t>d</w:t>
      </w:r>
      <w:r w:rsidR="00BA5780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 </w:t>
      </w:r>
      <w:r w:rsidR="00690AD2">
        <w:rPr>
          <w:rFonts w:asciiTheme="majorHAnsi" w:hAnsiTheme="majorHAnsi"/>
          <w:sz w:val="24"/>
          <w:szCs w:val="24"/>
        </w:rPr>
        <w:t>tableau A portant sur la liste des opérations exonérées de la taxe sur la valeur ajoutée</w:t>
      </w:r>
      <w:r>
        <w:rPr>
          <w:rFonts w:asciiTheme="majorHAnsi" w:hAnsiTheme="majorHAnsi"/>
          <w:sz w:val="24"/>
          <w:szCs w:val="24"/>
        </w:rPr>
        <w:t xml:space="preserve">, aucune TVA n’est </w:t>
      </w:r>
      <w:r w:rsidR="00BA5780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réclamer </w:t>
      </w:r>
      <w:r w:rsidR="00BA5780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ce titre.</w:t>
      </w:r>
    </w:p>
    <w:p w:rsidR="00F56794" w:rsidRDefault="00F56794" w:rsidP="00F56794">
      <w:p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C</w:t>
      </w:r>
      <w:r w:rsidRPr="00A043A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–Réservation d’une </w:t>
      </w:r>
      <w:r w:rsidRPr="00F56794">
        <w:rPr>
          <w:rFonts w:asciiTheme="majorHAnsi" w:hAnsiTheme="majorHAnsi"/>
          <w:b/>
          <w:bCs/>
          <w:i/>
          <w:iCs/>
          <w:sz w:val="24"/>
          <w:szCs w:val="24"/>
        </w:rPr>
        <w:t xml:space="preserve">fréquence de 3 méga bites assuré par la société </w:t>
      </w:r>
      <w:r w:rsidRPr="00354AC0">
        <w:rPr>
          <w:rFonts w:asciiTheme="majorHAnsi" w:hAnsiTheme="majorHAnsi"/>
          <w:b/>
          <w:bCs/>
          <w:i/>
          <w:iCs/>
          <w:sz w:val="24"/>
          <w:szCs w:val="24"/>
        </w:rPr>
        <w:t>«Turquie fréquence»</w:t>
      </w:r>
    </w:p>
    <w:p w:rsidR="00F56794" w:rsidRDefault="00F56794" w:rsidP="00136A19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21EAB">
        <w:rPr>
          <w:rFonts w:asciiTheme="majorHAnsi" w:hAnsiTheme="majorHAnsi"/>
          <w:b/>
          <w:bCs/>
          <w:i/>
          <w:iCs/>
          <w:sz w:val="24"/>
          <w:szCs w:val="24"/>
        </w:rPr>
        <w:t>En matière d’IS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 w:rsidR="00136A19"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>2</w:t>
      </w:r>
      <w:r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 xml:space="preserve"> point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F56794" w:rsidRDefault="00F56794" w:rsidP="00F56794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29237B">
        <w:rPr>
          <w:rFonts w:asciiTheme="majorHAnsi" w:hAnsiTheme="majorHAnsi"/>
          <w:sz w:val="24"/>
          <w:szCs w:val="24"/>
        </w:rPr>
        <w:t xml:space="preserve">Le terme </w:t>
      </w:r>
      <w:r w:rsidRPr="0029237B">
        <w:rPr>
          <w:rFonts w:asciiTheme="majorHAnsi" w:hAnsiTheme="majorHAnsi"/>
          <w:b/>
          <w:bCs/>
          <w:i/>
          <w:iCs/>
          <w:sz w:val="24"/>
          <w:szCs w:val="24"/>
        </w:rPr>
        <w:t>«redevances»</w:t>
      </w:r>
      <w:r w:rsidRPr="0029237B">
        <w:rPr>
          <w:rFonts w:asciiTheme="majorHAnsi" w:hAnsiTheme="majorHAnsi"/>
          <w:sz w:val="24"/>
          <w:szCs w:val="24"/>
        </w:rPr>
        <w:t xml:space="preserve"> employé dans </w:t>
      </w:r>
      <w:r w:rsidRPr="003E08DD">
        <w:rPr>
          <w:rFonts w:asciiTheme="majorHAnsi" w:hAnsiTheme="majorHAnsi"/>
          <w:sz w:val="24"/>
          <w:szCs w:val="24"/>
        </w:rPr>
        <w:t xml:space="preserve">l’article 12 de la convention </w:t>
      </w:r>
      <w:proofErr w:type="spellStart"/>
      <w:r w:rsidRPr="00FF49F1">
        <w:rPr>
          <w:rFonts w:asciiTheme="majorHAnsi" w:hAnsiTheme="majorHAnsi"/>
          <w:sz w:val="24"/>
          <w:szCs w:val="24"/>
        </w:rPr>
        <w:t>Tuniso</w:t>
      </w:r>
      <w:proofErr w:type="spellEnd"/>
      <w:r w:rsidRPr="00FF49F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Turquie</w:t>
      </w:r>
      <w:r w:rsidRPr="003E08DD">
        <w:rPr>
          <w:rFonts w:asciiTheme="majorHAnsi" w:hAnsiTheme="majorHAnsi"/>
          <w:sz w:val="24"/>
          <w:szCs w:val="24"/>
        </w:rPr>
        <w:t xml:space="preserve"> de non double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08DD">
        <w:rPr>
          <w:rFonts w:asciiTheme="majorHAnsi" w:hAnsiTheme="majorHAnsi"/>
          <w:sz w:val="24"/>
          <w:szCs w:val="24"/>
        </w:rPr>
        <w:t>imposition</w:t>
      </w:r>
      <w:r w:rsidRPr="0029237B">
        <w:rPr>
          <w:rFonts w:asciiTheme="majorHAnsi" w:hAnsiTheme="majorHAnsi"/>
          <w:sz w:val="24"/>
          <w:szCs w:val="24"/>
        </w:rPr>
        <w:t xml:space="preserve"> désigne les rémunérations de toute nature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payées pour l’usage ou la concession de l’usage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d’un droit d’</w:t>
      </w:r>
      <w:r>
        <w:rPr>
          <w:rFonts w:asciiTheme="majorHAnsi" w:hAnsiTheme="majorHAnsi"/>
          <w:sz w:val="24"/>
          <w:szCs w:val="24"/>
        </w:rPr>
        <w:t xml:space="preserve">auteur sur une </w:t>
      </w:r>
      <w:r w:rsidRPr="0029237B">
        <w:rPr>
          <w:rFonts w:asciiTheme="majorHAnsi" w:hAnsiTheme="majorHAnsi"/>
          <w:sz w:val="24"/>
          <w:szCs w:val="24"/>
        </w:rPr>
        <w:t>œuvre littéraire, artistique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 xml:space="preserve">ou scientifique, y compris les </w:t>
      </w:r>
      <w:r w:rsidRPr="00F56794">
        <w:rPr>
          <w:rFonts w:asciiTheme="majorHAnsi" w:hAnsiTheme="majorHAnsi"/>
          <w:sz w:val="24"/>
          <w:szCs w:val="24"/>
        </w:rPr>
        <w:t>films cinématographiques, enregistrement pour transmission radiophonique et télévisée</w:t>
      </w:r>
      <w:r w:rsidRPr="0029237B">
        <w:rPr>
          <w:rFonts w:asciiTheme="majorHAnsi" w:hAnsiTheme="majorHAnsi"/>
          <w:sz w:val="24"/>
          <w:szCs w:val="24"/>
        </w:rPr>
        <w:t>, d’un brevet, d’une marque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de fabrique ou de commerce, d’un dessin 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d’un modèle, d’un plan, d’une formule ou d’un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procédé secret ainsi que pour l’usage ou la concession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 xml:space="preserve">de l’usage </w:t>
      </w:r>
      <w:r w:rsidRPr="00F56794">
        <w:rPr>
          <w:rFonts w:asciiTheme="majorHAnsi" w:hAnsiTheme="majorHAnsi"/>
          <w:b/>
          <w:bCs/>
          <w:i/>
          <w:iCs/>
          <w:sz w:val="24"/>
          <w:szCs w:val="24"/>
        </w:rPr>
        <w:t>d’un équipement industriel</w:t>
      </w:r>
      <w:r w:rsidRPr="0029237B">
        <w:rPr>
          <w:rFonts w:asciiTheme="majorHAnsi" w:hAnsiTheme="majorHAnsi"/>
          <w:sz w:val="24"/>
          <w:szCs w:val="24"/>
        </w:rPr>
        <w:t>, commercial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ou scientifique et pour des informations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ayant trait à une expérience acquise dans le domaine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37B">
        <w:rPr>
          <w:rFonts w:asciiTheme="majorHAnsi" w:hAnsiTheme="majorHAnsi"/>
          <w:sz w:val="24"/>
          <w:szCs w:val="24"/>
        </w:rPr>
        <w:t>industriel, commercial ou scientifique.</w:t>
      </w:r>
    </w:p>
    <w:p w:rsidR="00F56794" w:rsidRDefault="00F56794" w:rsidP="00F56794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absence d’un établissement stable </w:t>
      </w:r>
      <w:r w:rsidRPr="00943D81">
        <w:rPr>
          <w:rFonts w:asciiTheme="majorHAnsi" w:hAnsiTheme="majorHAnsi"/>
          <w:sz w:val="24"/>
          <w:szCs w:val="24"/>
        </w:rPr>
        <w:t xml:space="preserve">et en vertu de l’article 12 de la convention de non double imposition </w:t>
      </w:r>
      <w:proofErr w:type="spellStart"/>
      <w:r w:rsidRPr="00943D81">
        <w:rPr>
          <w:rFonts w:asciiTheme="majorHAnsi" w:hAnsiTheme="majorHAnsi"/>
          <w:sz w:val="24"/>
          <w:szCs w:val="24"/>
        </w:rPr>
        <w:t>Tuniso</w:t>
      </w:r>
      <w:proofErr w:type="spellEnd"/>
      <w:r w:rsidRPr="00943D8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Turquie, la fourniture d’un service de réservation d’une fréquence de 3 méga bites pour la diffusion satellitaire de la chaine ne constitue pas un cas de redevance et la société </w:t>
      </w:r>
      <w:r w:rsidRPr="00354AC0">
        <w:rPr>
          <w:rFonts w:asciiTheme="majorHAnsi" w:hAnsiTheme="majorHAnsi"/>
          <w:b/>
          <w:bCs/>
          <w:i/>
          <w:iCs/>
          <w:sz w:val="24"/>
          <w:szCs w:val="24"/>
        </w:rPr>
        <w:t>«Turquie fréquence»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F56794">
        <w:rPr>
          <w:rFonts w:asciiTheme="majorHAnsi" w:hAnsiTheme="majorHAnsi"/>
          <w:sz w:val="24"/>
          <w:szCs w:val="24"/>
        </w:rPr>
        <w:t>n’est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3E08DD">
        <w:rPr>
          <w:rFonts w:asciiTheme="majorHAnsi" w:hAnsiTheme="majorHAnsi"/>
          <w:sz w:val="24"/>
          <w:szCs w:val="24"/>
        </w:rPr>
        <w:t xml:space="preserve"> pas imposable en Tunisie à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08DD">
        <w:rPr>
          <w:rFonts w:asciiTheme="majorHAnsi" w:hAnsiTheme="majorHAnsi"/>
          <w:sz w:val="24"/>
          <w:szCs w:val="24"/>
        </w:rPr>
        <w:t>ce titre.</w:t>
      </w:r>
    </w:p>
    <w:p w:rsidR="00CD628E" w:rsidRDefault="00CD628E" w:rsidP="00F56794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56794" w:rsidRPr="00621EAB" w:rsidRDefault="00F56794" w:rsidP="00F56794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21EAB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En matière de TVA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>
        <w:rPr>
          <w:rFonts w:asciiTheme="majorHAnsi" w:hAnsiTheme="majorHAnsi"/>
          <w:b/>
          <w:bCs/>
          <w:i/>
          <w:iCs/>
          <w:sz w:val="24"/>
          <w:szCs w:val="24"/>
          <w:lang w:bidi="ar-TN"/>
        </w:rPr>
        <w:t>0 point</w:t>
      </w:r>
      <w:r w:rsidRPr="00FD764D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F56794" w:rsidRDefault="00F56794" w:rsidP="00F56794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AA276B">
        <w:rPr>
          <w:rFonts w:asciiTheme="majorHAnsi" w:hAnsiTheme="majorHAnsi"/>
          <w:sz w:val="24"/>
          <w:szCs w:val="24"/>
        </w:rPr>
        <w:t>Les rémunérations sont la contrepartie d’un service consommé en Tunisie,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elles rentrent donc dans le champ d’application territoriale de la TVA qui est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due au taux de 1</w:t>
      </w:r>
      <w:r>
        <w:rPr>
          <w:rFonts w:asciiTheme="majorHAnsi" w:hAnsiTheme="majorHAnsi"/>
          <w:sz w:val="24"/>
          <w:szCs w:val="24"/>
        </w:rPr>
        <w:t xml:space="preserve">8 </w:t>
      </w:r>
      <w:r w:rsidRPr="00AA276B">
        <w:rPr>
          <w:rFonts w:asciiTheme="majorHAnsi" w:hAnsiTheme="majorHAnsi"/>
          <w:sz w:val="24"/>
          <w:szCs w:val="24"/>
        </w:rPr>
        <w:t>%.</w:t>
      </w:r>
    </w:p>
    <w:p w:rsidR="00F56794" w:rsidRDefault="00F56794" w:rsidP="00F56794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4139EE">
        <w:rPr>
          <w:rFonts w:asciiTheme="majorHAnsi" w:hAnsiTheme="majorHAnsi"/>
          <w:sz w:val="24"/>
          <w:szCs w:val="24"/>
        </w:rPr>
        <w:t xml:space="preserve">Etant non établie en Tunisie, la société </w:t>
      </w:r>
      <w:r w:rsidRPr="00354AC0">
        <w:rPr>
          <w:rFonts w:asciiTheme="majorHAnsi" w:hAnsiTheme="majorHAnsi"/>
          <w:b/>
          <w:bCs/>
          <w:i/>
          <w:iCs/>
          <w:sz w:val="24"/>
          <w:szCs w:val="24"/>
        </w:rPr>
        <w:t>«Turquie fréquence»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4139EE">
        <w:rPr>
          <w:rFonts w:asciiTheme="majorHAnsi" w:hAnsiTheme="majorHAnsi"/>
          <w:sz w:val="24"/>
          <w:szCs w:val="24"/>
        </w:rPr>
        <w:t xml:space="preserve">sera soumise </w:t>
      </w:r>
      <w:r>
        <w:rPr>
          <w:rFonts w:asciiTheme="majorHAnsi" w:hAnsiTheme="majorHAnsi"/>
          <w:sz w:val="24"/>
          <w:szCs w:val="24"/>
        </w:rPr>
        <w:t>à</w:t>
      </w:r>
      <w:r w:rsidRPr="004139EE">
        <w:rPr>
          <w:rFonts w:asciiTheme="majorHAnsi" w:hAnsiTheme="majorHAnsi"/>
          <w:sz w:val="24"/>
          <w:szCs w:val="24"/>
        </w:rPr>
        <w:t xml:space="preserve"> la retenue </w:t>
      </w:r>
      <w:r>
        <w:rPr>
          <w:rFonts w:asciiTheme="majorHAnsi" w:hAnsiTheme="majorHAnsi"/>
          <w:sz w:val="24"/>
          <w:szCs w:val="24"/>
        </w:rPr>
        <w:t>à</w:t>
      </w:r>
      <w:r w:rsidRPr="004139EE">
        <w:rPr>
          <w:rFonts w:asciiTheme="majorHAnsi" w:hAnsiTheme="majorHAnsi"/>
          <w:sz w:val="24"/>
          <w:szCs w:val="24"/>
        </w:rPr>
        <w:t xml:space="preserve"> la source au titre de la TVA au taux de 100%, et ceux conformément aux dispositions de l’article 19 du code TVA qui stipule</w:t>
      </w:r>
      <w:r>
        <w:rPr>
          <w:rFonts w:asciiTheme="majorHAnsi" w:hAnsiTheme="majorHAnsi"/>
          <w:sz w:val="24"/>
          <w:szCs w:val="24"/>
        </w:rPr>
        <w:t> :</w:t>
      </w:r>
      <w:r w:rsidRPr="004139EE">
        <w:rPr>
          <w:rFonts w:asciiTheme="majorHAnsi" w:hAnsiTheme="majorHAnsi"/>
          <w:sz w:val="24"/>
          <w:szCs w:val="24"/>
        </w:rPr>
        <w:t xml:space="preserve"> « </w:t>
      </w:r>
      <w:r w:rsidRPr="00436061">
        <w:rPr>
          <w:rFonts w:asciiTheme="majorHAnsi" w:hAnsiTheme="majorHAnsi"/>
          <w:sz w:val="24"/>
          <w:szCs w:val="24"/>
        </w:rPr>
        <w:t xml:space="preserve">en cas de réalisation par les personnes morales et les personne physiques n’ayant pas d’établissement en Tunisie d’opérations soumises </w:t>
      </w:r>
      <w:r>
        <w:rPr>
          <w:rFonts w:asciiTheme="majorHAnsi" w:hAnsiTheme="majorHAnsi"/>
          <w:sz w:val="24"/>
          <w:szCs w:val="24"/>
        </w:rPr>
        <w:t>à</w:t>
      </w:r>
      <w:r w:rsidRPr="00436061">
        <w:rPr>
          <w:rFonts w:asciiTheme="majorHAnsi" w:hAnsiTheme="majorHAnsi"/>
          <w:sz w:val="24"/>
          <w:szCs w:val="24"/>
        </w:rPr>
        <w:t xml:space="preserve"> la taxe sur la valeur ajouté, </w:t>
      </w:r>
      <w:r w:rsidRPr="00436061">
        <w:rPr>
          <w:rFonts w:asciiTheme="majorHAnsi" w:hAnsiTheme="majorHAnsi"/>
          <w:b/>
          <w:bCs/>
          <w:i/>
          <w:iCs/>
          <w:sz w:val="24"/>
          <w:szCs w:val="24"/>
        </w:rPr>
        <w:t>leurs clients</w:t>
      </w:r>
      <w:r w:rsidRPr="00436061">
        <w:rPr>
          <w:rFonts w:asciiTheme="majorHAnsi" w:hAnsiTheme="majorHAnsi"/>
          <w:sz w:val="24"/>
          <w:szCs w:val="24"/>
        </w:rPr>
        <w:t xml:space="preserve"> sont tenus de </w:t>
      </w:r>
      <w:r w:rsidRPr="00427628">
        <w:rPr>
          <w:rFonts w:asciiTheme="majorHAnsi" w:hAnsiTheme="majorHAnsi"/>
          <w:b/>
          <w:bCs/>
          <w:i/>
          <w:iCs/>
          <w:sz w:val="24"/>
          <w:szCs w:val="24"/>
        </w:rPr>
        <w:t>retenir</w:t>
      </w:r>
      <w:r w:rsidRPr="00436061">
        <w:rPr>
          <w:rFonts w:asciiTheme="majorHAnsi" w:hAnsiTheme="majorHAnsi"/>
          <w:sz w:val="24"/>
          <w:szCs w:val="24"/>
        </w:rPr>
        <w:t xml:space="preserve"> la taxe sur la valeur ajouté</w:t>
      </w:r>
      <w:r>
        <w:rPr>
          <w:rFonts w:asciiTheme="majorHAnsi" w:hAnsiTheme="majorHAnsi"/>
          <w:sz w:val="24"/>
          <w:szCs w:val="24"/>
        </w:rPr>
        <w:t>e</w:t>
      </w:r>
      <w:r w:rsidRPr="00436061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>û</w:t>
      </w:r>
      <w:r w:rsidRPr="00436061">
        <w:rPr>
          <w:rFonts w:asciiTheme="majorHAnsi" w:hAnsiTheme="majorHAnsi"/>
          <w:sz w:val="24"/>
          <w:szCs w:val="24"/>
        </w:rPr>
        <w:t xml:space="preserve"> au titre de ces opérations. Cette retenue est libératoire de ladite taxe</w:t>
      </w:r>
      <w:r w:rsidRPr="004139EE">
        <w:rPr>
          <w:rFonts w:asciiTheme="majorHAnsi" w:hAnsiTheme="majorHAnsi"/>
          <w:sz w:val="24"/>
          <w:szCs w:val="24"/>
        </w:rPr>
        <w:t> ». </w:t>
      </w:r>
    </w:p>
    <w:p w:rsidR="00F56794" w:rsidRDefault="00F56794" w:rsidP="00D36B37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  <w:lang w:bidi="ar-TN"/>
        </w:rPr>
      </w:pPr>
      <w:r w:rsidRPr="004139EE">
        <w:rPr>
          <w:rFonts w:asciiTheme="majorHAnsi" w:hAnsiTheme="majorHAnsi"/>
          <w:sz w:val="24"/>
          <w:szCs w:val="24"/>
        </w:rPr>
        <w:t xml:space="preserve"> La TVA retenu à la source est déterminée comme suit </w:t>
      </w:r>
      <w:r>
        <w:rPr>
          <w:rFonts w:asciiTheme="majorHAnsi" w:hAnsiTheme="majorHAnsi"/>
          <w:sz w:val="24"/>
          <w:szCs w:val="24"/>
        </w:rPr>
        <w:t xml:space="preserve">= </w:t>
      </w:r>
      <w:r w:rsidR="00D36B37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>.000,000</w:t>
      </w:r>
      <w:r w:rsidR="00D36B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7DC9">
        <w:rPr>
          <w:rFonts w:asciiTheme="majorHAnsi" w:hAnsiTheme="majorHAnsi" w:hint="cs"/>
          <w:sz w:val="24"/>
          <w:szCs w:val="24"/>
          <w:rtl/>
          <w:lang w:val="en-US" w:bidi="ar-TN"/>
        </w:rPr>
        <w:t>×</w:t>
      </w:r>
      <w:proofErr w:type="spellEnd"/>
      <w:r w:rsidR="00D36B37" w:rsidRPr="00D36B37">
        <w:rPr>
          <w:rFonts w:asciiTheme="majorHAnsi" w:hAnsiTheme="majorHAnsi"/>
          <w:sz w:val="24"/>
          <w:szCs w:val="24"/>
          <w:lang w:bidi="ar-TN"/>
        </w:rPr>
        <w:t xml:space="preserve"> </w:t>
      </w:r>
      <w:r w:rsidR="00D36B37">
        <w:rPr>
          <w:rFonts w:asciiTheme="majorHAnsi" w:hAnsiTheme="majorHAnsi"/>
          <w:sz w:val="24"/>
          <w:szCs w:val="24"/>
          <w:lang w:bidi="ar-TN"/>
        </w:rPr>
        <w:t xml:space="preserve">4 </w:t>
      </w:r>
      <w:proofErr w:type="spellStart"/>
      <w:r w:rsidR="00D36B37" w:rsidRPr="00F17DC9">
        <w:rPr>
          <w:rFonts w:asciiTheme="majorHAnsi" w:hAnsiTheme="majorHAnsi" w:hint="cs"/>
          <w:sz w:val="24"/>
          <w:szCs w:val="24"/>
          <w:rtl/>
          <w:lang w:val="en-US" w:bidi="ar-TN"/>
        </w:rPr>
        <w:t>×</w:t>
      </w:r>
      <w:proofErr w:type="spellEnd"/>
      <w:r w:rsidR="00D36B37" w:rsidRPr="00D36B37">
        <w:rPr>
          <w:rFonts w:asciiTheme="majorHAnsi" w:hAnsiTheme="majorHAnsi"/>
          <w:sz w:val="24"/>
          <w:szCs w:val="24"/>
          <w:lang w:bidi="ar-TN"/>
        </w:rPr>
        <w:t xml:space="preserve"> </w:t>
      </w:r>
      <w:r w:rsidRPr="00F17DC9">
        <w:rPr>
          <w:rFonts w:asciiTheme="majorHAnsi" w:hAnsiTheme="majorHAnsi"/>
          <w:sz w:val="24"/>
          <w:szCs w:val="24"/>
        </w:rPr>
        <w:t>0,1</w:t>
      </w:r>
      <w:r>
        <w:rPr>
          <w:rFonts w:asciiTheme="majorHAnsi" w:hAnsiTheme="majorHAnsi"/>
          <w:sz w:val="24"/>
          <w:szCs w:val="24"/>
        </w:rPr>
        <w:t xml:space="preserve">8 </w:t>
      </w:r>
      <w:proofErr w:type="spellStart"/>
      <w:r w:rsidRPr="00F17DC9">
        <w:rPr>
          <w:rFonts w:asciiTheme="majorHAnsi" w:hAnsiTheme="majorHAnsi" w:hint="cs"/>
          <w:sz w:val="24"/>
          <w:szCs w:val="24"/>
          <w:rtl/>
          <w:lang w:val="en-US" w:bidi="ar-TN"/>
        </w:rPr>
        <w:t>×</w:t>
      </w:r>
      <w:proofErr w:type="spellEnd"/>
      <w:r w:rsidRPr="00F56794">
        <w:rPr>
          <w:rFonts w:asciiTheme="majorHAnsi" w:hAnsiTheme="majorHAnsi"/>
          <w:sz w:val="24"/>
          <w:szCs w:val="24"/>
          <w:lang w:bidi="ar-TN"/>
        </w:rPr>
        <w:t xml:space="preserve"> 100%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7DC9">
        <w:rPr>
          <w:rFonts w:asciiTheme="majorHAnsi" w:hAnsiTheme="majorHAnsi"/>
          <w:sz w:val="24"/>
          <w:szCs w:val="24"/>
        </w:rPr>
        <w:t xml:space="preserve"> </w:t>
      </w:r>
      <w:r w:rsidRPr="00F17DC9">
        <w:rPr>
          <w:rFonts w:asciiTheme="majorHAnsi" w:hAnsiTheme="majorHAnsi"/>
          <w:sz w:val="24"/>
          <w:szCs w:val="24"/>
          <w:lang w:bidi="ar-TN"/>
        </w:rPr>
        <w:t xml:space="preserve">= </w:t>
      </w:r>
      <w:r>
        <w:rPr>
          <w:rFonts w:asciiTheme="majorHAnsi" w:hAnsiTheme="majorHAnsi"/>
          <w:sz w:val="24"/>
          <w:szCs w:val="24"/>
          <w:lang w:bidi="ar-TN"/>
        </w:rPr>
        <w:t>14</w:t>
      </w:r>
      <w:r w:rsidRPr="00F17DC9">
        <w:rPr>
          <w:rFonts w:asciiTheme="majorHAnsi" w:hAnsiTheme="majorHAnsi"/>
          <w:sz w:val="24"/>
          <w:szCs w:val="24"/>
          <w:lang w:bidi="ar-TN"/>
        </w:rPr>
        <w:t>.</w:t>
      </w:r>
      <w:r w:rsidR="00D36B37">
        <w:rPr>
          <w:rFonts w:asciiTheme="majorHAnsi" w:hAnsiTheme="majorHAnsi"/>
          <w:sz w:val="24"/>
          <w:szCs w:val="24"/>
          <w:lang w:bidi="ar-TN"/>
        </w:rPr>
        <w:t xml:space="preserve">400 </w:t>
      </w:r>
      <w:r w:rsidRPr="00F17DC9">
        <w:rPr>
          <w:rFonts w:asciiTheme="majorHAnsi" w:hAnsiTheme="majorHAnsi"/>
          <w:sz w:val="24"/>
          <w:szCs w:val="24"/>
          <w:lang w:bidi="ar-TN"/>
        </w:rPr>
        <w:t>TND.</w:t>
      </w:r>
    </w:p>
    <w:p w:rsidR="00F56794" w:rsidRDefault="00F56794" w:rsidP="00F56794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AA276B">
        <w:rPr>
          <w:rFonts w:asciiTheme="majorHAnsi" w:hAnsiTheme="majorHAnsi"/>
          <w:sz w:val="24"/>
          <w:szCs w:val="24"/>
        </w:rPr>
        <w:t xml:space="preserve">Cependant, la société </w:t>
      </w:r>
      <w:r w:rsidRPr="00354AC0">
        <w:rPr>
          <w:rFonts w:asciiTheme="majorHAnsi" w:hAnsiTheme="majorHAnsi"/>
          <w:b/>
          <w:bCs/>
          <w:i/>
          <w:iCs/>
          <w:sz w:val="24"/>
          <w:szCs w:val="24"/>
        </w:rPr>
        <w:t>«Turquie fréquence»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 xml:space="preserve">peut toujours </w:t>
      </w:r>
      <w:r w:rsidRPr="00CB2C35">
        <w:rPr>
          <w:rFonts w:asciiTheme="majorHAnsi" w:hAnsiTheme="majorHAnsi"/>
          <w:b/>
          <w:bCs/>
          <w:i/>
          <w:iCs/>
          <w:sz w:val="24"/>
          <w:szCs w:val="24"/>
        </w:rPr>
        <w:t xml:space="preserve">opter </w:t>
      </w:r>
      <w:r w:rsidRPr="00AA276B">
        <w:rPr>
          <w:rFonts w:asciiTheme="majorHAnsi" w:hAnsiTheme="majorHAnsi"/>
          <w:sz w:val="24"/>
          <w:szCs w:val="24"/>
        </w:rPr>
        <w:t>pour son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assujettissement à la TVA selon le régime de droit commun. Dans ce cas</w:t>
      </w:r>
      <w:r>
        <w:rPr>
          <w:rFonts w:asciiTheme="majorHAnsi" w:hAnsiTheme="majorHAnsi"/>
          <w:sz w:val="24"/>
          <w:szCs w:val="24"/>
        </w:rPr>
        <w:t>,</w:t>
      </w:r>
      <w:r w:rsidRPr="00AA276B">
        <w:rPr>
          <w:rFonts w:asciiTheme="majorHAnsi" w:hAnsiTheme="majorHAnsi"/>
          <w:sz w:val="24"/>
          <w:szCs w:val="24"/>
        </w:rPr>
        <w:t xml:space="preserve"> elle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bénéficie de la déduction de la TVA ayant grevé les marchandises et les services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nécessaires à la réalisation des opérations soumises à ladite taxe. En cas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d’apparition d’un crédit de taxe, ce dernier est remboursable conformément à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276B">
        <w:rPr>
          <w:rFonts w:asciiTheme="majorHAnsi" w:hAnsiTheme="majorHAnsi"/>
          <w:sz w:val="24"/>
          <w:szCs w:val="24"/>
        </w:rPr>
        <w:t>législation en vigueur.</w:t>
      </w:r>
    </w:p>
    <w:p w:rsidR="00F56794" w:rsidRPr="00943D81" w:rsidRDefault="00F56794" w:rsidP="00F56794">
      <w:pPr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F56794" w:rsidRDefault="00F56794" w:rsidP="00F56794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B23EDB" w:rsidRPr="00B23EDB" w:rsidRDefault="00F56794" w:rsidP="00D36B37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1E53" w:rsidRDefault="006C1E53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1E53" w:rsidRDefault="006C1E53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C1E53" w:rsidSect="00BF2A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D6" w:rsidRDefault="00917ED6" w:rsidP="00A7596E">
      <w:pPr>
        <w:spacing w:after="0" w:line="240" w:lineRule="auto"/>
      </w:pPr>
      <w:r>
        <w:separator/>
      </w:r>
    </w:p>
  </w:endnote>
  <w:endnote w:type="continuationSeparator" w:id="0">
    <w:p w:rsidR="00917ED6" w:rsidRDefault="00917ED6" w:rsidP="00A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7" w:rsidRDefault="006364D4" w:rsidP="002D469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 SBAI Mounir</w:t>
    </w:r>
    <w:r w:rsidR="00C02537">
      <w:rPr>
        <w:rFonts w:asciiTheme="majorHAnsi" w:hAnsiTheme="majorHAnsi"/>
      </w:rPr>
      <w:ptab w:relativeTo="margin" w:alignment="right" w:leader="none"/>
    </w:r>
    <w:r w:rsidR="00C02537">
      <w:rPr>
        <w:rFonts w:asciiTheme="majorHAnsi" w:hAnsiTheme="majorHAnsi"/>
      </w:rPr>
      <w:t xml:space="preserve">Page </w:t>
    </w:r>
    <w:fldSimple w:instr=" PAGE   \* MERGEFORMAT ">
      <w:r w:rsidR="0013158F" w:rsidRPr="0013158F">
        <w:rPr>
          <w:rFonts w:asciiTheme="majorHAnsi" w:hAnsiTheme="majorHAnsi"/>
          <w:noProof/>
        </w:rPr>
        <w:t>9</w:t>
      </w:r>
    </w:fldSimple>
  </w:p>
  <w:p w:rsidR="00C02537" w:rsidRDefault="00C025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D6" w:rsidRDefault="00917ED6" w:rsidP="00A7596E">
      <w:pPr>
        <w:spacing w:after="0" w:line="240" w:lineRule="auto"/>
      </w:pPr>
      <w:r>
        <w:separator/>
      </w:r>
    </w:p>
  </w:footnote>
  <w:footnote w:type="continuationSeparator" w:id="0">
    <w:p w:rsidR="00917ED6" w:rsidRDefault="00917ED6" w:rsidP="00A7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A0"/>
    <w:multiLevelType w:val="hybridMultilevel"/>
    <w:tmpl w:val="9340820E"/>
    <w:lvl w:ilvl="0" w:tplc="A6A6D53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9A7164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55B25"/>
    <w:multiLevelType w:val="hybridMultilevel"/>
    <w:tmpl w:val="AB50AD10"/>
    <w:lvl w:ilvl="0" w:tplc="CA8CF1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2A"/>
    <w:multiLevelType w:val="hybridMultilevel"/>
    <w:tmpl w:val="8EDAB002"/>
    <w:lvl w:ilvl="0" w:tplc="EE2A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45A7"/>
    <w:multiLevelType w:val="hybridMultilevel"/>
    <w:tmpl w:val="578CF458"/>
    <w:lvl w:ilvl="0" w:tplc="57305A30">
      <w:start w:val="1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835F1"/>
    <w:multiLevelType w:val="hybridMultilevel"/>
    <w:tmpl w:val="A16C3E44"/>
    <w:lvl w:ilvl="0" w:tplc="F9EC7C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E6117B"/>
    <w:multiLevelType w:val="hybridMultilevel"/>
    <w:tmpl w:val="015C5F9E"/>
    <w:lvl w:ilvl="0" w:tplc="B9A0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F89"/>
    <w:multiLevelType w:val="hybridMultilevel"/>
    <w:tmpl w:val="A26EF2DC"/>
    <w:lvl w:ilvl="0" w:tplc="7214C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50D5"/>
    <w:multiLevelType w:val="hybridMultilevel"/>
    <w:tmpl w:val="3CC6F3D0"/>
    <w:lvl w:ilvl="0" w:tplc="F59E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F08"/>
    <w:multiLevelType w:val="hybridMultilevel"/>
    <w:tmpl w:val="E7DC63F0"/>
    <w:lvl w:ilvl="0" w:tplc="01D6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A6F"/>
    <w:multiLevelType w:val="hybridMultilevel"/>
    <w:tmpl w:val="87C4ED9A"/>
    <w:lvl w:ilvl="0" w:tplc="EA0A314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1F49DA"/>
    <w:multiLevelType w:val="hybridMultilevel"/>
    <w:tmpl w:val="F26495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783263"/>
    <w:multiLevelType w:val="hybridMultilevel"/>
    <w:tmpl w:val="6D6E6C4E"/>
    <w:lvl w:ilvl="0" w:tplc="62E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5BE0"/>
    <w:multiLevelType w:val="hybridMultilevel"/>
    <w:tmpl w:val="F5546246"/>
    <w:lvl w:ilvl="0" w:tplc="872E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71D82"/>
    <w:multiLevelType w:val="hybridMultilevel"/>
    <w:tmpl w:val="EEE43BC0"/>
    <w:lvl w:ilvl="0" w:tplc="BD54E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F1DAA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5968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53A8"/>
    <w:multiLevelType w:val="hybridMultilevel"/>
    <w:tmpl w:val="6D585064"/>
    <w:lvl w:ilvl="0" w:tplc="7104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56131"/>
    <w:multiLevelType w:val="hybridMultilevel"/>
    <w:tmpl w:val="9CAE6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1155"/>
    <w:multiLevelType w:val="hybridMultilevel"/>
    <w:tmpl w:val="134E13E2"/>
    <w:lvl w:ilvl="0" w:tplc="27B80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95593"/>
    <w:multiLevelType w:val="hybridMultilevel"/>
    <w:tmpl w:val="75E075F6"/>
    <w:lvl w:ilvl="0" w:tplc="81CCF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D425E"/>
    <w:multiLevelType w:val="hybridMultilevel"/>
    <w:tmpl w:val="E0EC5DC6"/>
    <w:lvl w:ilvl="0" w:tplc="9044ED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42C2D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B507CA"/>
    <w:multiLevelType w:val="hybridMultilevel"/>
    <w:tmpl w:val="9AE251C2"/>
    <w:lvl w:ilvl="0" w:tplc="0610F4B0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5131"/>
    <w:multiLevelType w:val="hybridMultilevel"/>
    <w:tmpl w:val="A7CA97C4"/>
    <w:lvl w:ilvl="0" w:tplc="9EA4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550E3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561E0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9632BA"/>
    <w:multiLevelType w:val="hybridMultilevel"/>
    <w:tmpl w:val="D6FE5E54"/>
    <w:lvl w:ilvl="0" w:tplc="4CDAA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02270"/>
    <w:multiLevelType w:val="hybridMultilevel"/>
    <w:tmpl w:val="5B683C46"/>
    <w:lvl w:ilvl="0" w:tplc="2C4A715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E32EF"/>
    <w:multiLevelType w:val="hybridMultilevel"/>
    <w:tmpl w:val="70364EB8"/>
    <w:lvl w:ilvl="0" w:tplc="626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F0977"/>
    <w:multiLevelType w:val="hybridMultilevel"/>
    <w:tmpl w:val="631A5B48"/>
    <w:lvl w:ilvl="0" w:tplc="D7EC3B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371A0"/>
    <w:multiLevelType w:val="hybridMultilevel"/>
    <w:tmpl w:val="41AA9864"/>
    <w:lvl w:ilvl="0" w:tplc="E46A6E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E6580"/>
    <w:multiLevelType w:val="hybridMultilevel"/>
    <w:tmpl w:val="955446C6"/>
    <w:lvl w:ilvl="0" w:tplc="71F2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64AA4"/>
    <w:multiLevelType w:val="hybridMultilevel"/>
    <w:tmpl w:val="912CF252"/>
    <w:lvl w:ilvl="0" w:tplc="ECE0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61BCA"/>
    <w:multiLevelType w:val="hybridMultilevel"/>
    <w:tmpl w:val="85EAD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95F29"/>
    <w:multiLevelType w:val="hybridMultilevel"/>
    <w:tmpl w:val="F6720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C530D"/>
    <w:multiLevelType w:val="hybridMultilevel"/>
    <w:tmpl w:val="0A4C53A2"/>
    <w:lvl w:ilvl="0" w:tplc="66EA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7187"/>
    <w:multiLevelType w:val="hybridMultilevel"/>
    <w:tmpl w:val="3D44D8FE"/>
    <w:lvl w:ilvl="0" w:tplc="279E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A1E81"/>
    <w:multiLevelType w:val="hybridMultilevel"/>
    <w:tmpl w:val="CDDE6FE0"/>
    <w:lvl w:ilvl="0" w:tplc="FEF48A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31"/>
  </w:num>
  <w:num w:numId="5">
    <w:abstractNumId w:val="26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30"/>
  </w:num>
  <w:num w:numId="11">
    <w:abstractNumId w:val="25"/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11"/>
  </w:num>
  <w:num w:numId="23">
    <w:abstractNumId w:val="1"/>
  </w:num>
  <w:num w:numId="24">
    <w:abstractNumId w:val="37"/>
  </w:num>
  <w:num w:numId="25">
    <w:abstractNumId w:val="35"/>
  </w:num>
  <w:num w:numId="26">
    <w:abstractNumId w:val="36"/>
  </w:num>
  <w:num w:numId="27">
    <w:abstractNumId w:val="8"/>
  </w:num>
  <w:num w:numId="28">
    <w:abstractNumId w:val="34"/>
  </w:num>
  <w:num w:numId="29">
    <w:abstractNumId w:val="32"/>
  </w:num>
  <w:num w:numId="30">
    <w:abstractNumId w:val="38"/>
  </w:num>
  <w:num w:numId="31">
    <w:abstractNumId w:val="33"/>
  </w:num>
  <w:num w:numId="32">
    <w:abstractNumId w:val="13"/>
  </w:num>
  <w:num w:numId="33">
    <w:abstractNumId w:val="6"/>
  </w:num>
  <w:num w:numId="34">
    <w:abstractNumId w:val="18"/>
  </w:num>
  <w:num w:numId="35">
    <w:abstractNumId w:val="12"/>
  </w:num>
  <w:num w:numId="36">
    <w:abstractNumId w:val="27"/>
  </w:num>
  <w:num w:numId="37">
    <w:abstractNumId w:val="7"/>
  </w:num>
  <w:num w:numId="38">
    <w:abstractNumId w:val="2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96"/>
    <w:rsid w:val="000036C0"/>
    <w:rsid w:val="0000459B"/>
    <w:rsid w:val="00004F26"/>
    <w:rsid w:val="00007463"/>
    <w:rsid w:val="000113B3"/>
    <w:rsid w:val="000132A4"/>
    <w:rsid w:val="00017AFD"/>
    <w:rsid w:val="000339A6"/>
    <w:rsid w:val="00045826"/>
    <w:rsid w:val="00053EFD"/>
    <w:rsid w:val="00054189"/>
    <w:rsid w:val="00055CE8"/>
    <w:rsid w:val="00060362"/>
    <w:rsid w:val="00063BF4"/>
    <w:rsid w:val="00064039"/>
    <w:rsid w:val="00066D61"/>
    <w:rsid w:val="00073FF9"/>
    <w:rsid w:val="00074BA6"/>
    <w:rsid w:val="00082D40"/>
    <w:rsid w:val="00085FD4"/>
    <w:rsid w:val="000865EC"/>
    <w:rsid w:val="00095611"/>
    <w:rsid w:val="00096058"/>
    <w:rsid w:val="000C716A"/>
    <w:rsid w:val="000D184F"/>
    <w:rsid w:val="000D456F"/>
    <w:rsid w:val="000D55EB"/>
    <w:rsid w:val="000D6D33"/>
    <w:rsid w:val="000E6444"/>
    <w:rsid w:val="000F03E9"/>
    <w:rsid w:val="000F4EC9"/>
    <w:rsid w:val="000F60B7"/>
    <w:rsid w:val="001009DD"/>
    <w:rsid w:val="00111B04"/>
    <w:rsid w:val="001160D5"/>
    <w:rsid w:val="001174E4"/>
    <w:rsid w:val="00121EC9"/>
    <w:rsid w:val="001236C1"/>
    <w:rsid w:val="001243C7"/>
    <w:rsid w:val="00124CF0"/>
    <w:rsid w:val="0013158F"/>
    <w:rsid w:val="0013472C"/>
    <w:rsid w:val="00136A19"/>
    <w:rsid w:val="00143C8C"/>
    <w:rsid w:val="001456EE"/>
    <w:rsid w:val="00152656"/>
    <w:rsid w:val="00160BB4"/>
    <w:rsid w:val="00161307"/>
    <w:rsid w:val="00164E89"/>
    <w:rsid w:val="00183D33"/>
    <w:rsid w:val="00196714"/>
    <w:rsid w:val="001B2CC9"/>
    <w:rsid w:val="001B7009"/>
    <w:rsid w:val="001D0A07"/>
    <w:rsid w:val="001D4B79"/>
    <w:rsid w:val="001D704B"/>
    <w:rsid w:val="001E2464"/>
    <w:rsid w:val="001E5FAE"/>
    <w:rsid w:val="001F0061"/>
    <w:rsid w:val="001F104E"/>
    <w:rsid w:val="001F42EA"/>
    <w:rsid w:val="00200312"/>
    <w:rsid w:val="00200852"/>
    <w:rsid w:val="00202494"/>
    <w:rsid w:val="002105CA"/>
    <w:rsid w:val="00224CCC"/>
    <w:rsid w:val="00230FDD"/>
    <w:rsid w:val="0023307B"/>
    <w:rsid w:val="00242862"/>
    <w:rsid w:val="00242AF8"/>
    <w:rsid w:val="002459E8"/>
    <w:rsid w:val="0025071C"/>
    <w:rsid w:val="00253F9F"/>
    <w:rsid w:val="002613FD"/>
    <w:rsid w:val="002644C4"/>
    <w:rsid w:val="00264A56"/>
    <w:rsid w:val="00273852"/>
    <w:rsid w:val="00281CB4"/>
    <w:rsid w:val="00291A95"/>
    <w:rsid w:val="0029237B"/>
    <w:rsid w:val="002A0288"/>
    <w:rsid w:val="002A0730"/>
    <w:rsid w:val="002B0B4F"/>
    <w:rsid w:val="002B2EC2"/>
    <w:rsid w:val="002B5077"/>
    <w:rsid w:val="002C2706"/>
    <w:rsid w:val="002C4803"/>
    <w:rsid w:val="002D4697"/>
    <w:rsid w:val="002D5505"/>
    <w:rsid w:val="002F0125"/>
    <w:rsid w:val="002F62ED"/>
    <w:rsid w:val="002F750A"/>
    <w:rsid w:val="0031228C"/>
    <w:rsid w:val="00315FE4"/>
    <w:rsid w:val="003339C9"/>
    <w:rsid w:val="00333E12"/>
    <w:rsid w:val="003370A9"/>
    <w:rsid w:val="00350DAF"/>
    <w:rsid w:val="00354407"/>
    <w:rsid w:val="00354886"/>
    <w:rsid w:val="00354AC0"/>
    <w:rsid w:val="00355DF3"/>
    <w:rsid w:val="00356B3A"/>
    <w:rsid w:val="00362E58"/>
    <w:rsid w:val="00363601"/>
    <w:rsid w:val="003675F1"/>
    <w:rsid w:val="003704E8"/>
    <w:rsid w:val="003818A5"/>
    <w:rsid w:val="00385A53"/>
    <w:rsid w:val="0039025C"/>
    <w:rsid w:val="00392371"/>
    <w:rsid w:val="00397137"/>
    <w:rsid w:val="003A25CA"/>
    <w:rsid w:val="003A3292"/>
    <w:rsid w:val="003A5FC0"/>
    <w:rsid w:val="003B73A3"/>
    <w:rsid w:val="003B775D"/>
    <w:rsid w:val="003E03E0"/>
    <w:rsid w:val="003E4E47"/>
    <w:rsid w:val="004038F6"/>
    <w:rsid w:val="00404907"/>
    <w:rsid w:val="004053A4"/>
    <w:rsid w:val="0040542B"/>
    <w:rsid w:val="00420DFE"/>
    <w:rsid w:val="00421F75"/>
    <w:rsid w:val="0042436F"/>
    <w:rsid w:val="0042529E"/>
    <w:rsid w:val="00427BFE"/>
    <w:rsid w:val="004349DC"/>
    <w:rsid w:val="00434E61"/>
    <w:rsid w:val="0043718A"/>
    <w:rsid w:val="004451F6"/>
    <w:rsid w:val="004608CC"/>
    <w:rsid w:val="00462D66"/>
    <w:rsid w:val="0046706C"/>
    <w:rsid w:val="00475F43"/>
    <w:rsid w:val="004A34F1"/>
    <w:rsid w:val="004A6126"/>
    <w:rsid w:val="004A72BB"/>
    <w:rsid w:val="004B016D"/>
    <w:rsid w:val="004C3E4E"/>
    <w:rsid w:val="004C5069"/>
    <w:rsid w:val="004E4C32"/>
    <w:rsid w:val="004F6D6C"/>
    <w:rsid w:val="0050229C"/>
    <w:rsid w:val="0051515D"/>
    <w:rsid w:val="00525290"/>
    <w:rsid w:val="0053218B"/>
    <w:rsid w:val="005446C9"/>
    <w:rsid w:val="005464AE"/>
    <w:rsid w:val="00547E53"/>
    <w:rsid w:val="00552B66"/>
    <w:rsid w:val="00561329"/>
    <w:rsid w:val="00565F58"/>
    <w:rsid w:val="00575AD3"/>
    <w:rsid w:val="00584D05"/>
    <w:rsid w:val="005A0C2B"/>
    <w:rsid w:val="005A4E39"/>
    <w:rsid w:val="005A6378"/>
    <w:rsid w:val="005A6CC8"/>
    <w:rsid w:val="005B62DF"/>
    <w:rsid w:val="005C5402"/>
    <w:rsid w:val="005D5DBC"/>
    <w:rsid w:val="005D6D06"/>
    <w:rsid w:val="005D7AA4"/>
    <w:rsid w:val="005E408E"/>
    <w:rsid w:val="005E5F62"/>
    <w:rsid w:val="005F0960"/>
    <w:rsid w:val="005F7BF0"/>
    <w:rsid w:val="006007C2"/>
    <w:rsid w:val="006042E5"/>
    <w:rsid w:val="00615EB9"/>
    <w:rsid w:val="006364D4"/>
    <w:rsid w:val="0063730C"/>
    <w:rsid w:val="0064156F"/>
    <w:rsid w:val="00642D02"/>
    <w:rsid w:val="00644A54"/>
    <w:rsid w:val="006464A9"/>
    <w:rsid w:val="00647DED"/>
    <w:rsid w:val="00653824"/>
    <w:rsid w:val="00661F37"/>
    <w:rsid w:val="006636E8"/>
    <w:rsid w:val="00665F44"/>
    <w:rsid w:val="006676AE"/>
    <w:rsid w:val="00671A21"/>
    <w:rsid w:val="00684C07"/>
    <w:rsid w:val="00687271"/>
    <w:rsid w:val="00690AD2"/>
    <w:rsid w:val="0069119D"/>
    <w:rsid w:val="006B1175"/>
    <w:rsid w:val="006B33CD"/>
    <w:rsid w:val="006B42CE"/>
    <w:rsid w:val="006B48B2"/>
    <w:rsid w:val="006B7704"/>
    <w:rsid w:val="006C1E53"/>
    <w:rsid w:val="006C3F72"/>
    <w:rsid w:val="006C4B1A"/>
    <w:rsid w:val="006C5C0F"/>
    <w:rsid w:val="006E4A01"/>
    <w:rsid w:val="006E63C5"/>
    <w:rsid w:val="006E71E6"/>
    <w:rsid w:val="006E7435"/>
    <w:rsid w:val="0070215C"/>
    <w:rsid w:val="007051D4"/>
    <w:rsid w:val="00706E40"/>
    <w:rsid w:val="00710E36"/>
    <w:rsid w:val="00720EB5"/>
    <w:rsid w:val="007275C6"/>
    <w:rsid w:val="00733BD8"/>
    <w:rsid w:val="00735CAB"/>
    <w:rsid w:val="00737399"/>
    <w:rsid w:val="0074394F"/>
    <w:rsid w:val="0074397E"/>
    <w:rsid w:val="007440BB"/>
    <w:rsid w:val="0075623B"/>
    <w:rsid w:val="007662E0"/>
    <w:rsid w:val="0077196A"/>
    <w:rsid w:val="00784F2F"/>
    <w:rsid w:val="0079184A"/>
    <w:rsid w:val="007A4A2A"/>
    <w:rsid w:val="007A5B63"/>
    <w:rsid w:val="007A6344"/>
    <w:rsid w:val="007B7214"/>
    <w:rsid w:val="007C1511"/>
    <w:rsid w:val="007C273E"/>
    <w:rsid w:val="007C5705"/>
    <w:rsid w:val="007D1E87"/>
    <w:rsid w:val="007D3E2D"/>
    <w:rsid w:val="007E639A"/>
    <w:rsid w:val="007F1AC5"/>
    <w:rsid w:val="007F5090"/>
    <w:rsid w:val="007F719F"/>
    <w:rsid w:val="008046B2"/>
    <w:rsid w:val="00804BB3"/>
    <w:rsid w:val="008054D6"/>
    <w:rsid w:val="0080604E"/>
    <w:rsid w:val="0080633F"/>
    <w:rsid w:val="0082132E"/>
    <w:rsid w:val="0082474F"/>
    <w:rsid w:val="00850E24"/>
    <w:rsid w:val="0087607D"/>
    <w:rsid w:val="00892C62"/>
    <w:rsid w:val="00893AFB"/>
    <w:rsid w:val="008958FF"/>
    <w:rsid w:val="00896BC6"/>
    <w:rsid w:val="0089793F"/>
    <w:rsid w:val="008A0686"/>
    <w:rsid w:val="008B21AC"/>
    <w:rsid w:val="008C26F8"/>
    <w:rsid w:val="008C3137"/>
    <w:rsid w:val="008C3B62"/>
    <w:rsid w:val="008D5F5B"/>
    <w:rsid w:val="008E47C4"/>
    <w:rsid w:val="008F4CE2"/>
    <w:rsid w:val="008F5C66"/>
    <w:rsid w:val="008F5EB1"/>
    <w:rsid w:val="009131DA"/>
    <w:rsid w:val="009135DE"/>
    <w:rsid w:val="00916BAB"/>
    <w:rsid w:val="00917ED6"/>
    <w:rsid w:val="00925C01"/>
    <w:rsid w:val="00943D81"/>
    <w:rsid w:val="00946BC3"/>
    <w:rsid w:val="00954592"/>
    <w:rsid w:val="00964FAB"/>
    <w:rsid w:val="00965D64"/>
    <w:rsid w:val="00976132"/>
    <w:rsid w:val="00980E3A"/>
    <w:rsid w:val="009823B1"/>
    <w:rsid w:val="00994331"/>
    <w:rsid w:val="009A0871"/>
    <w:rsid w:val="009A27E5"/>
    <w:rsid w:val="009B2D78"/>
    <w:rsid w:val="009B5D39"/>
    <w:rsid w:val="009B65AE"/>
    <w:rsid w:val="009C1785"/>
    <w:rsid w:val="009C500B"/>
    <w:rsid w:val="009C5B97"/>
    <w:rsid w:val="009D5677"/>
    <w:rsid w:val="009E19E3"/>
    <w:rsid w:val="009E45A9"/>
    <w:rsid w:val="009F4EAB"/>
    <w:rsid w:val="009F609F"/>
    <w:rsid w:val="009F76A5"/>
    <w:rsid w:val="00A04E0B"/>
    <w:rsid w:val="00A112B4"/>
    <w:rsid w:val="00A23D97"/>
    <w:rsid w:val="00A23DD7"/>
    <w:rsid w:val="00A2583B"/>
    <w:rsid w:val="00A34813"/>
    <w:rsid w:val="00A34A41"/>
    <w:rsid w:val="00A351C8"/>
    <w:rsid w:val="00A37B0C"/>
    <w:rsid w:val="00A4478E"/>
    <w:rsid w:val="00A55EDA"/>
    <w:rsid w:val="00A56E2F"/>
    <w:rsid w:val="00A7596E"/>
    <w:rsid w:val="00A84E4C"/>
    <w:rsid w:val="00A862A7"/>
    <w:rsid w:val="00AB069B"/>
    <w:rsid w:val="00AB0D05"/>
    <w:rsid w:val="00AB7EF9"/>
    <w:rsid w:val="00AC651D"/>
    <w:rsid w:val="00AD6C3F"/>
    <w:rsid w:val="00AD7115"/>
    <w:rsid w:val="00AE075F"/>
    <w:rsid w:val="00AE38F7"/>
    <w:rsid w:val="00AE62A8"/>
    <w:rsid w:val="00AF670E"/>
    <w:rsid w:val="00B01DD9"/>
    <w:rsid w:val="00B04796"/>
    <w:rsid w:val="00B10598"/>
    <w:rsid w:val="00B10829"/>
    <w:rsid w:val="00B14575"/>
    <w:rsid w:val="00B17A89"/>
    <w:rsid w:val="00B22001"/>
    <w:rsid w:val="00B23E94"/>
    <w:rsid w:val="00B23EDB"/>
    <w:rsid w:val="00B26308"/>
    <w:rsid w:val="00B3186B"/>
    <w:rsid w:val="00B401C2"/>
    <w:rsid w:val="00B45A80"/>
    <w:rsid w:val="00B45C66"/>
    <w:rsid w:val="00B500A8"/>
    <w:rsid w:val="00B63B93"/>
    <w:rsid w:val="00B70A54"/>
    <w:rsid w:val="00B7263F"/>
    <w:rsid w:val="00B84877"/>
    <w:rsid w:val="00B84F60"/>
    <w:rsid w:val="00B91AA8"/>
    <w:rsid w:val="00BA5780"/>
    <w:rsid w:val="00BB39B7"/>
    <w:rsid w:val="00BC5AB1"/>
    <w:rsid w:val="00BD33DD"/>
    <w:rsid w:val="00BE1CD8"/>
    <w:rsid w:val="00BE5357"/>
    <w:rsid w:val="00BF2A32"/>
    <w:rsid w:val="00C0020B"/>
    <w:rsid w:val="00C02537"/>
    <w:rsid w:val="00C0728F"/>
    <w:rsid w:val="00C24FEC"/>
    <w:rsid w:val="00C26611"/>
    <w:rsid w:val="00C30505"/>
    <w:rsid w:val="00C443CC"/>
    <w:rsid w:val="00C456FB"/>
    <w:rsid w:val="00C45896"/>
    <w:rsid w:val="00C47DF5"/>
    <w:rsid w:val="00C50338"/>
    <w:rsid w:val="00C55D64"/>
    <w:rsid w:val="00C575F3"/>
    <w:rsid w:val="00C609E6"/>
    <w:rsid w:val="00C63456"/>
    <w:rsid w:val="00C63473"/>
    <w:rsid w:val="00C651B2"/>
    <w:rsid w:val="00C661A0"/>
    <w:rsid w:val="00C70A54"/>
    <w:rsid w:val="00C71699"/>
    <w:rsid w:val="00C72921"/>
    <w:rsid w:val="00C75854"/>
    <w:rsid w:val="00C81B4E"/>
    <w:rsid w:val="00C92A0A"/>
    <w:rsid w:val="00C93304"/>
    <w:rsid w:val="00C93F0E"/>
    <w:rsid w:val="00CA44A0"/>
    <w:rsid w:val="00CA489A"/>
    <w:rsid w:val="00CB1E73"/>
    <w:rsid w:val="00CC103E"/>
    <w:rsid w:val="00CC75EF"/>
    <w:rsid w:val="00CD628E"/>
    <w:rsid w:val="00CE7FCC"/>
    <w:rsid w:val="00D03C3A"/>
    <w:rsid w:val="00D074FE"/>
    <w:rsid w:val="00D15714"/>
    <w:rsid w:val="00D15C38"/>
    <w:rsid w:val="00D208CD"/>
    <w:rsid w:val="00D26D90"/>
    <w:rsid w:val="00D36892"/>
    <w:rsid w:val="00D36B37"/>
    <w:rsid w:val="00D44EE9"/>
    <w:rsid w:val="00D4565D"/>
    <w:rsid w:val="00D46EA4"/>
    <w:rsid w:val="00D54735"/>
    <w:rsid w:val="00D65587"/>
    <w:rsid w:val="00D80873"/>
    <w:rsid w:val="00D81093"/>
    <w:rsid w:val="00D8267E"/>
    <w:rsid w:val="00D83B53"/>
    <w:rsid w:val="00D95924"/>
    <w:rsid w:val="00D974CE"/>
    <w:rsid w:val="00DA0AFB"/>
    <w:rsid w:val="00DB0F1B"/>
    <w:rsid w:val="00DB22BA"/>
    <w:rsid w:val="00DB45D8"/>
    <w:rsid w:val="00DD314C"/>
    <w:rsid w:val="00DD45B7"/>
    <w:rsid w:val="00DE0E57"/>
    <w:rsid w:val="00DE342E"/>
    <w:rsid w:val="00DE5244"/>
    <w:rsid w:val="00DE7D2E"/>
    <w:rsid w:val="00DE7D3C"/>
    <w:rsid w:val="00E0449A"/>
    <w:rsid w:val="00E16ABB"/>
    <w:rsid w:val="00E16BA7"/>
    <w:rsid w:val="00E252F7"/>
    <w:rsid w:val="00E33B87"/>
    <w:rsid w:val="00E353DD"/>
    <w:rsid w:val="00E35FB3"/>
    <w:rsid w:val="00E362A2"/>
    <w:rsid w:val="00E3711E"/>
    <w:rsid w:val="00E6051F"/>
    <w:rsid w:val="00E61F0B"/>
    <w:rsid w:val="00E6739E"/>
    <w:rsid w:val="00E72BC4"/>
    <w:rsid w:val="00E865F4"/>
    <w:rsid w:val="00E9001A"/>
    <w:rsid w:val="00EB291B"/>
    <w:rsid w:val="00EB47C1"/>
    <w:rsid w:val="00EB6EFB"/>
    <w:rsid w:val="00EC1BDC"/>
    <w:rsid w:val="00EC6CE9"/>
    <w:rsid w:val="00ED0C8C"/>
    <w:rsid w:val="00ED31DB"/>
    <w:rsid w:val="00ED34FF"/>
    <w:rsid w:val="00ED397F"/>
    <w:rsid w:val="00ED558A"/>
    <w:rsid w:val="00EE0547"/>
    <w:rsid w:val="00EF675D"/>
    <w:rsid w:val="00F141CD"/>
    <w:rsid w:val="00F274B0"/>
    <w:rsid w:val="00F37CDB"/>
    <w:rsid w:val="00F44951"/>
    <w:rsid w:val="00F44B75"/>
    <w:rsid w:val="00F56794"/>
    <w:rsid w:val="00F6329B"/>
    <w:rsid w:val="00F6721A"/>
    <w:rsid w:val="00F67AB1"/>
    <w:rsid w:val="00F81897"/>
    <w:rsid w:val="00F92975"/>
    <w:rsid w:val="00F960B9"/>
    <w:rsid w:val="00FA0E1B"/>
    <w:rsid w:val="00FA2FC4"/>
    <w:rsid w:val="00FA50FD"/>
    <w:rsid w:val="00FB0824"/>
    <w:rsid w:val="00FB3B48"/>
    <w:rsid w:val="00FC34C2"/>
    <w:rsid w:val="00FC5FB5"/>
    <w:rsid w:val="00FD024B"/>
    <w:rsid w:val="00FD1C79"/>
    <w:rsid w:val="00FD2779"/>
    <w:rsid w:val="00FD45D4"/>
    <w:rsid w:val="00FD764D"/>
    <w:rsid w:val="00FE0696"/>
    <w:rsid w:val="00FE5C42"/>
    <w:rsid w:val="00FE720F"/>
    <w:rsid w:val="00FF2CA5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6E"/>
  </w:style>
  <w:style w:type="paragraph" w:styleId="Pieddepage">
    <w:name w:val="footer"/>
    <w:basedOn w:val="Normal"/>
    <w:link w:val="Pieddepag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6E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73E6-E0FA-4A79-A92A-47188507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9</Pages>
  <Words>2380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mounir</cp:lastModifiedBy>
  <cp:revision>174</cp:revision>
  <cp:lastPrinted>2013-12-25T14:33:00Z</cp:lastPrinted>
  <dcterms:created xsi:type="dcterms:W3CDTF">2012-10-23T11:29:00Z</dcterms:created>
  <dcterms:modified xsi:type="dcterms:W3CDTF">2014-01-31T12:58:00Z</dcterms:modified>
</cp:coreProperties>
</file>