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A0" w:rsidRDefault="009571A0" w:rsidP="00DC3537">
      <w:pPr>
        <w:jc w:val="center"/>
        <w:rPr>
          <w:b/>
          <w:bCs/>
          <w:sz w:val="44"/>
          <w:szCs w:val="44"/>
        </w:rPr>
      </w:pPr>
      <w:r w:rsidRPr="009571A0">
        <w:rPr>
          <w:b/>
          <w:bCs/>
          <w:noProof/>
          <w:sz w:val="44"/>
          <w:szCs w:val="44"/>
          <w:lang w:eastAsia="fr-FR"/>
        </w:rPr>
        <w:drawing>
          <wp:anchor distT="0" distB="0" distL="114300" distR="114300" simplePos="0" relativeHeight="251659264" behindDoc="0" locked="0" layoutInCell="1" allowOverlap="1">
            <wp:simplePos x="0" y="0"/>
            <wp:positionH relativeFrom="column">
              <wp:posOffset>1933707</wp:posOffset>
            </wp:positionH>
            <wp:positionV relativeFrom="paragraph">
              <wp:align>top</wp:align>
            </wp:positionV>
            <wp:extent cx="1522202" cy="1520042"/>
            <wp:effectExtent l="19050" t="0" r="3068"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20932" cy="1520041"/>
                    </a:xfrm>
                    <a:prstGeom prst="rect">
                      <a:avLst/>
                    </a:prstGeom>
                    <a:noFill/>
                    <a:ln w="9525">
                      <a:noFill/>
                      <a:miter lim="800000"/>
                      <a:headEnd/>
                      <a:tailEnd/>
                    </a:ln>
                  </pic:spPr>
                </pic:pic>
              </a:graphicData>
            </a:graphic>
          </wp:anchor>
        </w:drawing>
      </w:r>
    </w:p>
    <w:p w:rsidR="009571A0" w:rsidRDefault="009571A0" w:rsidP="00DC3537">
      <w:pPr>
        <w:jc w:val="center"/>
        <w:rPr>
          <w:b/>
          <w:bCs/>
          <w:sz w:val="44"/>
          <w:szCs w:val="44"/>
        </w:rPr>
      </w:pPr>
    </w:p>
    <w:p w:rsidR="009571A0" w:rsidRDefault="009571A0" w:rsidP="00DC3537">
      <w:pPr>
        <w:jc w:val="center"/>
        <w:rPr>
          <w:b/>
          <w:bCs/>
          <w:sz w:val="44"/>
          <w:szCs w:val="44"/>
        </w:rPr>
      </w:pPr>
    </w:p>
    <w:p w:rsidR="00BF2A32" w:rsidRPr="009A53A2" w:rsidRDefault="00FC1A8E" w:rsidP="00DC3537">
      <w:pPr>
        <w:jc w:val="center"/>
        <w:rPr>
          <w:b/>
          <w:bCs/>
          <w:i/>
          <w:iCs/>
          <w:sz w:val="44"/>
          <w:szCs w:val="44"/>
        </w:rPr>
      </w:pPr>
      <w:r>
        <w:rPr>
          <w:b/>
          <w:bCs/>
          <w:sz w:val="44"/>
          <w:szCs w:val="44"/>
        </w:rPr>
        <w:t xml:space="preserve">PROPOSITION DE CORRECTION DU </w:t>
      </w:r>
      <w:r w:rsidR="006B3C4F">
        <w:rPr>
          <w:b/>
          <w:bCs/>
          <w:sz w:val="44"/>
          <w:szCs w:val="44"/>
        </w:rPr>
        <w:t xml:space="preserve">CAS </w:t>
      </w:r>
      <w:r w:rsidR="000B3264">
        <w:rPr>
          <w:b/>
          <w:bCs/>
          <w:sz w:val="44"/>
          <w:szCs w:val="44"/>
        </w:rPr>
        <w:t xml:space="preserve">N° </w:t>
      </w:r>
      <w:r w:rsidR="00DC3537">
        <w:rPr>
          <w:b/>
          <w:bCs/>
          <w:sz w:val="44"/>
          <w:szCs w:val="44"/>
        </w:rPr>
        <w:t>2</w:t>
      </w:r>
      <w:r w:rsidR="0093150D">
        <w:rPr>
          <w:b/>
          <w:bCs/>
          <w:sz w:val="44"/>
          <w:szCs w:val="44"/>
        </w:rPr>
        <w:t> :</w:t>
      </w:r>
      <w:r w:rsidR="006F2876">
        <w:rPr>
          <w:b/>
          <w:bCs/>
          <w:sz w:val="44"/>
          <w:szCs w:val="44"/>
        </w:rPr>
        <w:t xml:space="preserve"> LA SOCIÉTÉ </w:t>
      </w:r>
      <w:r w:rsidR="006F2876" w:rsidRPr="009A53A2">
        <w:rPr>
          <w:b/>
          <w:bCs/>
          <w:i/>
          <w:iCs/>
          <w:sz w:val="44"/>
          <w:szCs w:val="44"/>
        </w:rPr>
        <w:t>«</w:t>
      </w:r>
      <w:r w:rsidR="00DC3537">
        <w:rPr>
          <w:b/>
          <w:bCs/>
          <w:i/>
          <w:iCs/>
          <w:sz w:val="44"/>
          <w:szCs w:val="44"/>
        </w:rPr>
        <w:t>ABC</w:t>
      </w:r>
      <w:r w:rsidR="006F2876" w:rsidRPr="009A53A2">
        <w:rPr>
          <w:b/>
          <w:bCs/>
          <w:i/>
          <w:iCs/>
          <w:sz w:val="44"/>
          <w:szCs w:val="44"/>
        </w:rPr>
        <w:t>»</w:t>
      </w:r>
    </w:p>
    <w:p w:rsidR="00C90377" w:rsidRPr="00055B54" w:rsidRDefault="00C90377" w:rsidP="007A32C8">
      <w:pPr>
        <w:pStyle w:val="Paragraphedeliste"/>
        <w:numPr>
          <w:ilvl w:val="0"/>
          <w:numId w:val="39"/>
        </w:numPr>
        <w:tabs>
          <w:tab w:val="left" w:pos="284"/>
        </w:tabs>
        <w:spacing w:before="120" w:after="120" w:line="360" w:lineRule="auto"/>
        <w:ind w:left="0" w:firstLine="0"/>
        <w:jc w:val="both"/>
        <w:rPr>
          <w:rFonts w:asciiTheme="majorHAnsi" w:hAnsiTheme="majorHAnsi"/>
          <w:b/>
          <w:bCs/>
          <w:sz w:val="24"/>
          <w:szCs w:val="24"/>
        </w:rPr>
      </w:pPr>
      <w:r w:rsidRPr="00C90377">
        <w:rPr>
          <w:rFonts w:asciiTheme="majorHAnsi" w:hAnsiTheme="majorHAnsi"/>
          <w:b/>
          <w:bCs/>
          <w:sz w:val="24"/>
          <w:szCs w:val="24"/>
        </w:rPr>
        <w:t>1-</w:t>
      </w:r>
      <w:r w:rsidRPr="00C90377">
        <w:rPr>
          <w:rFonts w:asciiTheme="majorHAnsi" w:hAnsiTheme="majorHAnsi"/>
          <w:sz w:val="24"/>
          <w:szCs w:val="24"/>
        </w:rPr>
        <w:t xml:space="preserve"> </w:t>
      </w:r>
      <w:r w:rsidRPr="00055B54">
        <w:rPr>
          <w:rFonts w:asciiTheme="majorHAnsi" w:hAnsiTheme="majorHAnsi"/>
          <w:b/>
          <w:bCs/>
          <w:sz w:val="24"/>
          <w:szCs w:val="24"/>
        </w:rPr>
        <w:t xml:space="preserve">Détermination du résultat fiscal de la société </w:t>
      </w:r>
      <w:r w:rsidRPr="00055B54">
        <w:rPr>
          <w:rFonts w:asciiTheme="majorHAnsi" w:hAnsiTheme="majorHAnsi"/>
          <w:b/>
          <w:bCs/>
          <w:i/>
          <w:iCs/>
          <w:sz w:val="24"/>
          <w:szCs w:val="24"/>
        </w:rPr>
        <w:t>« </w:t>
      </w:r>
      <w:r w:rsidR="007A32C8">
        <w:rPr>
          <w:rFonts w:asciiTheme="majorHAnsi" w:hAnsiTheme="majorHAnsi"/>
          <w:b/>
          <w:bCs/>
          <w:i/>
          <w:iCs/>
          <w:sz w:val="24"/>
          <w:szCs w:val="24"/>
        </w:rPr>
        <w:t>ABC</w:t>
      </w:r>
      <w:r w:rsidRPr="00055B54">
        <w:rPr>
          <w:rFonts w:asciiTheme="majorHAnsi" w:hAnsiTheme="majorHAnsi"/>
          <w:b/>
          <w:bCs/>
          <w:i/>
          <w:iCs/>
          <w:sz w:val="24"/>
          <w:szCs w:val="24"/>
        </w:rPr>
        <w:t> »</w:t>
      </w:r>
      <w:r w:rsidRPr="00055B54">
        <w:rPr>
          <w:rFonts w:asciiTheme="majorHAnsi" w:hAnsiTheme="majorHAnsi"/>
          <w:b/>
          <w:bCs/>
          <w:sz w:val="24"/>
          <w:szCs w:val="24"/>
        </w:rPr>
        <w:t xml:space="preserve"> </w:t>
      </w:r>
    </w:p>
    <w:tbl>
      <w:tblPr>
        <w:tblStyle w:val="Grilledutableau"/>
        <w:tblW w:w="9747" w:type="dxa"/>
        <w:tblLook w:val="04A0"/>
      </w:tblPr>
      <w:tblGrid>
        <w:gridCol w:w="5495"/>
        <w:gridCol w:w="2126"/>
        <w:gridCol w:w="2126"/>
      </w:tblGrid>
      <w:tr w:rsidR="00C90377" w:rsidRPr="00197E36" w:rsidTr="00CE25C2">
        <w:trPr>
          <w:trHeight w:val="506"/>
        </w:trPr>
        <w:tc>
          <w:tcPr>
            <w:tcW w:w="5495" w:type="dxa"/>
          </w:tcPr>
          <w:p w:rsidR="00C90377" w:rsidRDefault="00C90377" w:rsidP="00CE25C2"/>
        </w:tc>
        <w:tc>
          <w:tcPr>
            <w:tcW w:w="2126" w:type="dxa"/>
            <w:vAlign w:val="center"/>
          </w:tcPr>
          <w:p w:rsidR="00C90377" w:rsidRPr="00197E36" w:rsidRDefault="00C90377" w:rsidP="00CE25C2">
            <w:pPr>
              <w:jc w:val="center"/>
              <w:rPr>
                <w:b/>
                <w:bCs/>
              </w:rPr>
            </w:pPr>
            <w:r w:rsidRPr="00197E36">
              <w:rPr>
                <w:b/>
                <w:bCs/>
              </w:rPr>
              <w:t>réintégrations</w:t>
            </w:r>
          </w:p>
        </w:tc>
        <w:tc>
          <w:tcPr>
            <w:tcW w:w="2126" w:type="dxa"/>
            <w:vAlign w:val="center"/>
          </w:tcPr>
          <w:p w:rsidR="00C90377" w:rsidRPr="00197E36" w:rsidRDefault="00C90377" w:rsidP="00CE25C2">
            <w:pPr>
              <w:jc w:val="center"/>
              <w:rPr>
                <w:b/>
                <w:bCs/>
              </w:rPr>
            </w:pPr>
            <w:r>
              <w:rPr>
                <w:b/>
                <w:bCs/>
              </w:rPr>
              <w:t>déductions</w:t>
            </w:r>
          </w:p>
        </w:tc>
      </w:tr>
      <w:tr w:rsidR="00C90377" w:rsidTr="00CE25C2">
        <w:trPr>
          <w:trHeight w:val="570"/>
        </w:trPr>
        <w:tc>
          <w:tcPr>
            <w:tcW w:w="5495" w:type="dxa"/>
            <w:vAlign w:val="center"/>
          </w:tcPr>
          <w:p w:rsidR="00C90377" w:rsidRPr="006B469F" w:rsidRDefault="002D485A" w:rsidP="007132F3">
            <w:pPr>
              <w:rPr>
                <w:b/>
                <w:bCs/>
                <w:sz w:val="24"/>
                <w:szCs w:val="24"/>
              </w:rPr>
            </w:pPr>
            <w:r>
              <w:rPr>
                <w:b/>
                <w:bCs/>
                <w:sz w:val="24"/>
                <w:szCs w:val="24"/>
              </w:rPr>
              <w:t>Résultat fiscal déclaré</w:t>
            </w:r>
            <w:r w:rsidR="00261B30">
              <w:rPr>
                <w:b/>
                <w:bCs/>
                <w:sz w:val="24"/>
                <w:szCs w:val="24"/>
              </w:rPr>
              <w:t xml:space="preserve"> (bénéfice)</w:t>
            </w:r>
            <w:r w:rsidR="00632434">
              <w:rPr>
                <w:b/>
                <w:bCs/>
                <w:sz w:val="24"/>
                <w:szCs w:val="24"/>
              </w:rPr>
              <w:t xml:space="preserve"> </w:t>
            </w:r>
          </w:p>
        </w:tc>
        <w:tc>
          <w:tcPr>
            <w:tcW w:w="2126" w:type="dxa"/>
            <w:vAlign w:val="center"/>
          </w:tcPr>
          <w:p w:rsidR="00C90377" w:rsidRPr="00830A28" w:rsidRDefault="002D485A" w:rsidP="00CE25C2">
            <w:pPr>
              <w:jc w:val="right"/>
              <w:rPr>
                <w:rFonts w:asciiTheme="majorHAnsi" w:hAnsiTheme="majorHAnsi"/>
              </w:rPr>
            </w:pPr>
            <w:r>
              <w:rPr>
                <w:rFonts w:asciiTheme="majorHAnsi" w:hAnsiTheme="majorHAnsi"/>
              </w:rPr>
              <w:t>4</w:t>
            </w:r>
            <w:r w:rsidR="00C90377" w:rsidRPr="00830A28">
              <w:rPr>
                <w:rFonts w:asciiTheme="majorHAnsi" w:hAnsiTheme="majorHAnsi"/>
              </w:rPr>
              <w:t>0.000,000</w:t>
            </w:r>
          </w:p>
        </w:tc>
        <w:tc>
          <w:tcPr>
            <w:tcW w:w="2126" w:type="dxa"/>
          </w:tcPr>
          <w:p w:rsidR="00C90377" w:rsidRDefault="00C90377" w:rsidP="00CE25C2"/>
        </w:tc>
      </w:tr>
      <w:tr w:rsidR="00C90377" w:rsidTr="00CE25C2">
        <w:tc>
          <w:tcPr>
            <w:tcW w:w="5495" w:type="dxa"/>
            <w:vAlign w:val="center"/>
          </w:tcPr>
          <w:p w:rsidR="00632434" w:rsidRDefault="00632434" w:rsidP="005B1910">
            <w:pPr>
              <w:pStyle w:val="Paragraphedeliste"/>
              <w:ind w:left="0"/>
              <w:jc w:val="both"/>
              <w:rPr>
                <w:rFonts w:asciiTheme="majorHAnsi" w:hAnsiTheme="majorHAnsi"/>
                <w:sz w:val="24"/>
                <w:szCs w:val="24"/>
              </w:rPr>
            </w:pPr>
            <w:r>
              <w:rPr>
                <w:rFonts w:asciiTheme="majorHAnsi" w:hAnsiTheme="majorHAnsi"/>
                <w:sz w:val="24"/>
                <w:szCs w:val="24"/>
              </w:rPr>
              <w:t>Les normes comptables NCT et IFRS prévoient la dissociation entre terrain et construction lors de</w:t>
            </w:r>
            <w:r w:rsidR="00553406">
              <w:rPr>
                <w:rFonts w:asciiTheme="majorHAnsi" w:hAnsiTheme="majorHAnsi"/>
                <w:sz w:val="24"/>
                <w:szCs w:val="24"/>
              </w:rPr>
              <w:t xml:space="preserve"> la</w:t>
            </w:r>
            <w:r>
              <w:rPr>
                <w:rFonts w:asciiTheme="majorHAnsi" w:hAnsiTheme="majorHAnsi"/>
                <w:sz w:val="24"/>
                <w:szCs w:val="24"/>
              </w:rPr>
              <w:t xml:space="preserve"> prise en compte des </w:t>
            </w:r>
            <w:r w:rsidR="005B1910">
              <w:rPr>
                <w:rFonts w:asciiTheme="majorHAnsi" w:hAnsiTheme="majorHAnsi"/>
                <w:sz w:val="24"/>
                <w:szCs w:val="24"/>
              </w:rPr>
              <w:t>immobilisations</w:t>
            </w:r>
            <w:r>
              <w:rPr>
                <w:rFonts w:asciiTheme="majorHAnsi" w:hAnsiTheme="majorHAnsi"/>
                <w:sz w:val="24"/>
                <w:szCs w:val="24"/>
              </w:rPr>
              <w:t> : dans le cas d’espèce l’affectation se fait à concurrence des justes valeurs des immobilisations.</w:t>
            </w:r>
          </w:p>
          <w:p w:rsidR="00632434" w:rsidRPr="00632434" w:rsidRDefault="00632434" w:rsidP="00632434">
            <w:pPr>
              <w:pStyle w:val="Paragraphedeliste"/>
              <w:ind w:left="0"/>
              <w:jc w:val="both"/>
              <w:rPr>
                <w:rFonts w:asciiTheme="majorHAnsi" w:hAnsiTheme="majorHAnsi"/>
              </w:rPr>
            </w:pPr>
            <w:r>
              <w:rPr>
                <w:rFonts w:asciiTheme="majorHAnsi" w:hAnsiTheme="majorHAnsi"/>
                <w:sz w:val="24"/>
                <w:szCs w:val="24"/>
              </w:rPr>
              <w:t xml:space="preserve">cout historique terrain = </w:t>
            </w:r>
            <w:r w:rsidRPr="00632434">
              <w:rPr>
                <w:rFonts w:asciiTheme="majorHAnsi" w:hAnsiTheme="majorHAnsi"/>
              </w:rPr>
              <w:t>120.000 * 70.000/140.000</w:t>
            </w:r>
            <w:r>
              <w:rPr>
                <w:rFonts w:asciiTheme="majorHAnsi" w:hAnsiTheme="majorHAnsi"/>
              </w:rPr>
              <w:t xml:space="preserve"> = 60.000</w:t>
            </w:r>
            <w:r w:rsidR="006A57D7">
              <w:rPr>
                <w:rFonts w:asciiTheme="majorHAnsi" w:hAnsiTheme="majorHAnsi"/>
              </w:rPr>
              <w:t xml:space="preserve"> TND</w:t>
            </w:r>
            <w:r w:rsidRPr="00632434">
              <w:rPr>
                <w:rFonts w:asciiTheme="majorHAnsi" w:hAnsiTheme="majorHAnsi"/>
              </w:rPr>
              <w:t xml:space="preserve"> </w:t>
            </w:r>
          </w:p>
          <w:p w:rsidR="00632434" w:rsidRDefault="00632434" w:rsidP="00632434">
            <w:pPr>
              <w:pStyle w:val="Paragraphedeliste"/>
              <w:ind w:left="0"/>
              <w:jc w:val="both"/>
              <w:rPr>
                <w:rFonts w:asciiTheme="majorHAnsi" w:hAnsiTheme="majorHAnsi"/>
              </w:rPr>
            </w:pPr>
            <w:r>
              <w:rPr>
                <w:rFonts w:asciiTheme="majorHAnsi" w:hAnsiTheme="majorHAnsi"/>
                <w:sz w:val="24"/>
                <w:szCs w:val="24"/>
              </w:rPr>
              <w:t xml:space="preserve">cout historique </w:t>
            </w:r>
            <w:r w:rsidR="006A57D7">
              <w:rPr>
                <w:rFonts w:asciiTheme="majorHAnsi" w:hAnsiTheme="majorHAnsi"/>
                <w:sz w:val="24"/>
                <w:szCs w:val="24"/>
              </w:rPr>
              <w:t xml:space="preserve">de la </w:t>
            </w:r>
            <w:r>
              <w:rPr>
                <w:rFonts w:asciiTheme="majorHAnsi" w:hAnsiTheme="majorHAnsi"/>
                <w:sz w:val="24"/>
                <w:szCs w:val="24"/>
              </w:rPr>
              <w:t xml:space="preserve">construction = </w:t>
            </w:r>
            <w:r w:rsidRPr="00632434">
              <w:rPr>
                <w:rFonts w:asciiTheme="majorHAnsi" w:hAnsiTheme="majorHAnsi"/>
              </w:rPr>
              <w:t>120.000</w:t>
            </w:r>
            <w:r>
              <w:rPr>
                <w:rFonts w:asciiTheme="majorHAnsi" w:hAnsiTheme="majorHAnsi"/>
              </w:rPr>
              <w:t xml:space="preserve"> </w:t>
            </w:r>
            <w:r w:rsidRPr="00632434">
              <w:rPr>
                <w:rFonts w:asciiTheme="majorHAnsi" w:hAnsiTheme="majorHAnsi"/>
              </w:rPr>
              <w:t>* 70.000/140.000</w:t>
            </w:r>
            <w:r>
              <w:rPr>
                <w:rFonts w:asciiTheme="majorHAnsi" w:hAnsiTheme="majorHAnsi"/>
              </w:rPr>
              <w:t xml:space="preserve"> = 60.000</w:t>
            </w:r>
          </w:p>
          <w:p w:rsidR="00632434" w:rsidRDefault="00632434" w:rsidP="00632434">
            <w:pPr>
              <w:pStyle w:val="Paragraphedeliste"/>
              <w:ind w:left="0"/>
              <w:jc w:val="both"/>
              <w:rPr>
                <w:rFonts w:asciiTheme="majorHAnsi" w:hAnsiTheme="majorHAnsi"/>
              </w:rPr>
            </w:pPr>
            <w:r>
              <w:rPr>
                <w:rFonts w:asciiTheme="majorHAnsi" w:hAnsiTheme="majorHAnsi"/>
              </w:rPr>
              <w:t>amortissement déductible de l’année = 60.000 * 5% * 11/12 =</w:t>
            </w:r>
            <w:r w:rsidR="0019792C">
              <w:rPr>
                <w:rFonts w:asciiTheme="majorHAnsi" w:hAnsiTheme="majorHAnsi"/>
              </w:rPr>
              <w:t xml:space="preserve"> 2.750,000</w:t>
            </w:r>
            <w:r w:rsidR="006A57D7">
              <w:rPr>
                <w:rFonts w:asciiTheme="majorHAnsi" w:hAnsiTheme="majorHAnsi"/>
              </w:rPr>
              <w:t xml:space="preserve"> TND</w:t>
            </w:r>
            <w:r>
              <w:rPr>
                <w:rFonts w:asciiTheme="majorHAnsi" w:hAnsiTheme="majorHAnsi"/>
              </w:rPr>
              <w:t xml:space="preserve"> </w:t>
            </w:r>
          </w:p>
          <w:p w:rsidR="00632434" w:rsidRDefault="00632434" w:rsidP="00632434">
            <w:pPr>
              <w:pStyle w:val="Paragraphedeliste"/>
              <w:ind w:left="0"/>
              <w:jc w:val="both"/>
              <w:rPr>
                <w:rFonts w:asciiTheme="majorHAnsi" w:hAnsiTheme="majorHAnsi"/>
                <w:sz w:val="24"/>
                <w:szCs w:val="24"/>
              </w:rPr>
            </w:pPr>
            <w:r>
              <w:rPr>
                <w:rFonts w:asciiTheme="majorHAnsi" w:hAnsiTheme="majorHAnsi"/>
              </w:rPr>
              <w:t xml:space="preserve">amortissement non déductible = 6.000 </w:t>
            </w:r>
            <w:r w:rsidR="0019792C">
              <w:rPr>
                <w:rFonts w:asciiTheme="majorHAnsi" w:hAnsiTheme="majorHAnsi"/>
              </w:rPr>
              <w:t>– 2.750,000 = 3.250,000</w:t>
            </w:r>
            <w:r w:rsidR="006A57D7">
              <w:rPr>
                <w:rFonts w:asciiTheme="majorHAnsi" w:hAnsiTheme="majorHAnsi"/>
              </w:rPr>
              <w:t xml:space="preserve"> TND</w:t>
            </w:r>
            <w:r>
              <w:rPr>
                <w:rFonts w:asciiTheme="majorHAnsi" w:hAnsiTheme="majorHAnsi"/>
              </w:rPr>
              <w:t xml:space="preserve"> </w:t>
            </w:r>
          </w:p>
          <w:p w:rsidR="008332CC" w:rsidRDefault="008332CC" w:rsidP="0019792C">
            <w:pPr>
              <w:pStyle w:val="Paragraphedeliste"/>
              <w:ind w:left="0"/>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12</w:t>
            </w:r>
            <w:r w:rsidR="00085F91">
              <w:rPr>
                <w:rFonts w:asciiTheme="majorHAnsi" w:hAnsiTheme="majorHAnsi"/>
                <w:sz w:val="24"/>
                <w:szCs w:val="24"/>
              </w:rPr>
              <w:t xml:space="preserve"> bis</w:t>
            </w:r>
            <w:r>
              <w:rPr>
                <w:rFonts w:asciiTheme="majorHAnsi" w:hAnsiTheme="majorHAnsi"/>
                <w:sz w:val="24"/>
                <w:szCs w:val="24"/>
              </w:rPr>
              <w:t xml:space="preserve"> du code IRPP et IS.</w:t>
            </w:r>
          </w:p>
          <w:p w:rsidR="008332CC" w:rsidRDefault="008332CC" w:rsidP="00B613B8">
            <w:pPr>
              <w:pStyle w:val="Paragraphedeliste"/>
              <w:ind w:left="0"/>
            </w:pPr>
            <w:r>
              <w:rPr>
                <w:rFonts w:asciiTheme="majorHAnsi" w:hAnsiTheme="majorHAnsi"/>
                <w:sz w:val="24"/>
                <w:szCs w:val="24"/>
              </w:rPr>
              <w:t>Norme</w:t>
            </w:r>
            <w:r w:rsidR="008F6050">
              <w:rPr>
                <w:rFonts w:asciiTheme="majorHAnsi" w:hAnsiTheme="majorHAnsi"/>
                <w:sz w:val="24"/>
                <w:szCs w:val="24"/>
              </w:rPr>
              <w:t xml:space="preserve"> comptable</w:t>
            </w:r>
            <w:r>
              <w:rPr>
                <w:rFonts w:asciiTheme="majorHAnsi" w:hAnsiTheme="majorHAnsi"/>
                <w:sz w:val="24"/>
                <w:szCs w:val="24"/>
              </w:rPr>
              <w:t xml:space="preserve"> NCT </w:t>
            </w:r>
            <w:r w:rsidR="0019792C">
              <w:rPr>
                <w:rFonts w:asciiTheme="majorHAnsi" w:hAnsiTheme="majorHAnsi"/>
                <w:sz w:val="24"/>
                <w:szCs w:val="24"/>
              </w:rPr>
              <w:t>5</w:t>
            </w:r>
            <w:r>
              <w:rPr>
                <w:rFonts w:asciiTheme="majorHAnsi" w:hAnsiTheme="majorHAnsi"/>
                <w:sz w:val="24"/>
                <w:szCs w:val="24"/>
              </w:rPr>
              <w:t xml:space="preserve"> et </w:t>
            </w:r>
            <w:r w:rsidR="0019792C">
              <w:rPr>
                <w:rFonts w:asciiTheme="majorHAnsi" w:hAnsiTheme="majorHAnsi"/>
                <w:sz w:val="24"/>
                <w:szCs w:val="24"/>
              </w:rPr>
              <w:t>I</w:t>
            </w:r>
            <w:r w:rsidR="00B613B8">
              <w:rPr>
                <w:rFonts w:asciiTheme="majorHAnsi" w:hAnsiTheme="majorHAnsi"/>
                <w:sz w:val="24"/>
                <w:szCs w:val="24"/>
              </w:rPr>
              <w:t>AS</w:t>
            </w:r>
            <w:r w:rsidR="0019792C">
              <w:rPr>
                <w:rFonts w:asciiTheme="majorHAnsi" w:hAnsiTheme="majorHAnsi"/>
                <w:sz w:val="24"/>
                <w:szCs w:val="24"/>
              </w:rPr>
              <w:t xml:space="preserve"> 16</w:t>
            </w:r>
          </w:p>
        </w:tc>
        <w:tc>
          <w:tcPr>
            <w:tcW w:w="2126" w:type="dxa"/>
          </w:tcPr>
          <w:p w:rsidR="00002B64" w:rsidRDefault="00002B64" w:rsidP="00CE25C2">
            <w:pPr>
              <w:jc w:val="right"/>
              <w:rPr>
                <w:rFonts w:asciiTheme="majorHAnsi" w:hAnsiTheme="majorHAnsi"/>
              </w:rPr>
            </w:pPr>
          </w:p>
          <w:p w:rsidR="00002B64" w:rsidRDefault="00002B64" w:rsidP="00CE25C2">
            <w:pPr>
              <w:jc w:val="right"/>
              <w:rPr>
                <w:rFonts w:asciiTheme="majorHAnsi" w:hAnsiTheme="majorHAnsi"/>
              </w:rPr>
            </w:pPr>
          </w:p>
          <w:p w:rsidR="00002B64" w:rsidRDefault="00002B64" w:rsidP="00CE25C2">
            <w:pPr>
              <w:jc w:val="right"/>
              <w:rPr>
                <w:rFonts w:asciiTheme="majorHAnsi" w:hAnsiTheme="majorHAnsi"/>
              </w:rPr>
            </w:pPr>
          </w:p>
          <w:p w:rsidR="0019792C" w:rsidRDefault="0019792C" w:rsidP="00CE25C2">
            <w:pPr>
              <w:jc w:val="right"/>
              <w:rPr>
                <w:rFonts w:asciiTheme="majorHAnsi" w:hAnsiTheme="majorHAnsi"/>
              </w:rPr>
            </w:pPr>
          </w:p>
          <w:p w:rsidR="0019792C" w:rsidRDefault="0019792C" w:rsidP="00CE25C2">
            <w:pPr>
              <w:jc w:val="right"/>
              <w:rPr>
                <w:rFonts w:asciiTheme="majorHAnsi" w:hAnsiTheme="majorHAnsi"/>
              </w:rPr>
            </w:pPr>
          </w:p>
          <w:p w:rsidR="0019792C" w:rsidRDefault="0019792C" w:rsidP="00CE25C2">
            <w:pPr>
              <w:jc w:val="right"/>
              <w:rPr>
                <w:rFonts w:asciiTheme="majorHAnsi" w:hAnsiTheme="majorHAnsi"/>
              </w:rPr>
            </w:pPr>
          </w:p>
          <w:p w:rsidR="0019792C" w:rsidRDefault="0019792C" w:rsidP="00CE25C2">
            <w:pPr>
              <w:jc w:val="right"/>
              <w:rPr>
                <w:rFonts w:asciiTheme="majorHAnsi" w:hAnsiTheme="majorHAnsi"/>
              </w:rPr>
            </w:pPr>
          </w:p>
          <w:p w:rsidR="00002B64" w:rsidRPr="00830A28" w:rsidRDefault="0019792C" w:rsidP="00173A1B">
            <w:pPr>
              <w:jc w:val="right"/>
            </w:pPr>
            <w:r>
              <w:rPr>
                <w:rFonts w:asciiTheme="majorHAnsi" w:hAnsiTheme="majorHAnsi"/>
              </w:rPr>
              <w:t>3</w:t>
            </w:r>
            <w:r w:rsidR="00002B64">
              <w:rPr>
                <w:rFonts w:asciiTheme="majorHAnsi" w:hAnsiTheme="majorHAnsi"/>
              </w:rPr>
              <w:t>.</w:t>
            </w:r>
            <w:r>
              <w:rPr>
                <w:rFonts w:asciiTheme="majorHAnsi" w:hAnsiTheme="majorHAnsi"/>
              </w:rPr>
              <w:t>2</w:t>
            </w:r>
            <w:r w:rsidR="00173A1B">
              <w:rPr>
                <w:rFonts w:asciiTheme="majorHAnsi" w:hAnsiTheme="majorHAnsi"/>
              </w:rPr>
              <w:t>5</w:t>
            </w:r>
            <w:r w:rsidR="00002B64">
              <w:rPr>
                <w:rFonts w:asciiTheme="majorHAnsi" w:hAnsiTheme="majorHAnsi"/>
              </w:rPr>
              <w:t>0,000</w:t>
            </w:r>
          </w:p>
        </w:tc>
        <w:tc>
          <w:tcPr>
            <w:tcW w:w="2126" w:type="dxa"/>
          </w:tcPr>
          <w:p w:rsidR="00C90377" w:rsidRDefault="00C90377" w:rsidP="00CE25C2"/>
        </w:tc>
      </w:tr>
      <w:tr w:rsidR="00E23C3F" w:rsidTr="00CE25C2">
        <w:trPr>
          <w:trHeight w:val="396"/>
        </w:trPr>
        <w:tc>
          <w:tcPr>
            <w:tcW w:w="5495" w:type="dxa"/>
            <w:vAlign w:val="center"/>
          </w:tcPr>
          <w:p w:rsidR="00E23C3F" w:rsidRDefault="00E23C3F" w:rsidP="00E23C3F">
            <w:pPr>
              <w:rPr>
                <w:rFonts w:asciiTheme="majorHAnsi" w:hAnsiTheme="majorHAnsi"/>
                <w:sz w:val="24"/>
                <w:szCs w:val="24"/>
              </w:rPr>
            </w:pPr>
            <w:r>
              <w:rPr>
                <w:rFonts w:asciiTheme="majorHAnsi" w:hAnsiTheme="majorHAnsi"/>
                <w:sz w:val="24"/>
                <w:szCs w:val="24"/>
              </w:rPr>
              <w:t xml:space="preserve">Réintégration d’une perte </w:t>
            </w:r>
            <w:r w:rsidRPr="00922D2E">
              <w:rPr>
                <w:rFonts w:asciiTheme="majorHAnsi" w:hAnsiTheme="majorHAnsi"/>
                <w:sz w:val="24"/>
                <w:szCs w:val="24"/>
              </w:rPr>
              <w:t>de change</w:t>
            </w:r>
            <w:r>
              <w:rPr>
                <w:rFonts w:asciiTheme="majorHAnsi" w:hAnsiTheme="majorHAnsi"/>
                <w:sz w:val="24"/>
                <w:szCs w:val="24"/>
              </w:rPr>
              <w:t xml:space="preserve"> latent </w:t>
            </w:r>
            <w:r w:rsidRPr="00922D2E">
              <w:rPr>
                <w:rFonts w:asciiTheme="majorHAnsi" w:hAnsiTheme="majorHAnsi"/>
                <w:sz w:val="24"/>
                <w:szCs w:val="24"/>
              </w:rPr>
              <w:t xml:space="preserve"> non réalisé</w:t>
            </w:r>
            <w:r>
              <w:rPr>
                <w:rFonts w:asciiTheme="majorHAnsi" w:hAnsiTheme="majorHAnsi"/>
                <w:sz w:val="24"/>
                <w:szCs w:val="24"/>
              </w:rPr>
              <w:t>e</w:t>
            </w:r>
          </w:p>
          <w:p w:rsidR="00E23C3F" w:rsidRDefault="00E23C3F" w:rsidP="00E23C3F">
            <w:pPr>
              <w:pStyle w:val="Paragraphedeliste"/>
              <w:ind w:left="0"/>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12 du code IRPP et IS.</w:t>
            </w:r>
          </w:p>
          <w:p w:rsidR="00E23C3F" w:rsidRPr="00002B64" w:rsidRDefault="00E23C3F" w:rsidP="00E23C3F">
            <w:pPr>
              <w:pStyle w:val="Paragraphedeliste"/>
              <w:ind w:left="0"/>
              <w:jc w:val="both"/>
              <w:rPr>
                <w:rFonts w:asciiTheme="majorHAnsi" w:hAnsiTheme="majorHAnsi"/>
                <w:sz w:val="24"/>
                <w:szCs w:val="24"/>
              </w:rPr>
            </w:pPr>
            <w:r>
              <w:rPr>
                <w:rFonts w:asciiTheme="majorHAnsi" w:hAnsiTheme="majorHAnsi"/>
                <w:sz w:val="24"/>
                <w:szCs w:val="24"/>
              </w:rPr>
              <w:t>Norme</w:t>
            </w:r>
            <w:r w:rsidR="008F6050">
              <w:rPr>
                <w:rFonts w:asciiTheme="majorHAnsi" w:hAnsiTheme="majorHAnsi"/>
                <w:sz w:val="24"/>
                <w:szCs w:val="24"/>
              </w:rPr>
              <w:t xml:space="preserve"> comptable</w:t>
            </w:r>
            <w:r>
              <w:rPr>
                <w:rFonts w:asciiTheme="majorHAnsi" w:hAnsiTheme="majorHAnsi"/>
                <w:sz w:val="24"/>
                <w:szCs w:val="24"/>
              </w:rPr>
              <w:t xml:space="preserve"> NCT15</w:t>
            </w:r>
          </w:p>
        </w:tc>
        <w:tc>
          <w:tcPr>
            <w:tcW w:w="2126" w:type="dxa"/>
            <w:vAlign w:val="center"/>
          </w:tcPr>
          <w:p w:rsidR="00E23C3F" w:rsidRDefault="00E23C3F" w:rsidP="00CE25C2">
            <w:pPr>
              <w:jc w:val="right"/>
            </w:pPr>
            <w:r>
              <w:t>20.000,000</w:t>
            </w:r>
          </w:p>
        </w:tc>
        <w:tc>
          <w:tcPr>
            <w:tcW w:w="2126" w:type="dxa"/>
            <w:vAlign w:val="center"/>
          </w:tcPr>
          <w:p w:rsidR="00E23C3F" w:rsidRDefault="00E23C3F" w:rsidP="00CE25C2">
            <w:pPr>
              <w:jc w:val="right"/>
            </w:pPr>
          </w:p>
        </w:tc>
      </w:tr>
      <w:tr w:rsidR="00002B64" w:rsidTr="00CE25C2">
        <w:trPr>
          <w:trHeight w:val="396"/>
        </w:trPr>
        <w:tc>
          <w:tcPr>
            <w:tcW w:w="5495" w:type="dxa"/>
            <w:vAlign w:val="center"/>
          </w:tcPr>
          <w:p w:rsidR="00085F91" w:rsidRDefault="0093782F" w:rsidP="0093782F">
            <w:pPr>
              <w:pStyle w:val="Paragraphedeliste"/>
              <w:ind w:left="0"/>
              <w:jc w:val="both"/>
              <w:rPr>
                <w:rFonts w:asciiTheme="majorHAnsi" w:hAnsiTheme="majorHAnsi"/>
                <w:sz w:val="24"/>
                <w:szCs w:val="24"/>
              </w:rPr>
            </w:pPr>
            <w:r w:rsidRPr="0093782F">
              <w:rPr>
                <w:rFonts w:asciiTheme="majorHAnsi" w:hAnsiTheme="majorHAnsi"/>
                <w:sz w:val="24"/>
                <w:szCs w:val="24"/>
              </w:rPr>
              <w:t xml:space="preserve">La perte de 100.000 TND suite à </w:t>
            </w:r>
            <w:r w:rsidRPr="0093782F">
              <w:rPr>
                <w:rFonts w:asciiTheme="majorHAnsi" w:hAnsiTheme="majorHAnsi"/>
                <w:b/>
                <w:bCs/>
                <w:i/>
                <w:iCs/>
                <w:sz w:val="24"/>
                <w:szCs w:val="24"/>
              </w:rPr>
              <w:t>un PV de carence</w:t>
            </w:r>
            <w:r w:rsidRPr="0093782F">
              <w:rPr>
                <w:rFonts w:asciiTheme="majorHAnsi" w:hAnsiTheme="majorHAnsi"/>
                <w:sz w:val="24"/>
                <w:szCs w:val="24"/>
              </w:rPr>
              <w:t xml:space="preserve"> établie en défaveur d’un client antérieurement provisionné pour le même montant</w:t>
            </w:r>
            <w:r w:rsidR="00085F91">
              <w:rPr>
                <w:rFonts w:asciiTheme="majorHAnsi" w:hAnsiTheme="majorHAnsi"/>
                <w:sz w:val="24"/>
                <w:szCs w:val="24"/>
              </w:rPr>
              <w:t xml:space="preserve"> est déductible</w:t>
            </w:r>
            <w:r w:rsidRPr="0093782F">
              <w:rPr>
                <w:rFonts w:asciiTheme="majorHAnsi" w:hAnsiTheme="majorHAnsi"/>
                <w:sz w:val="24"/>
                <w:szCs w:val="24"/>
              </w:rPr>
              <w:t xml:space="preserve">. </w:t>
            </w:r>
          </w:p>
          <w:p w:rsidR="0093782F" w:rsidRPr="0093782F" w:rsidRDefault="0093782F" w:rsidP="00085F91">
            <w:pPr>
              <w:pStyle w:val="Paragraphedeliste"/>
              <w:ind w:left="0"/>
              <w:jc w:val="both"/>
              <w:rPr>
                <w:rFonts w:asciiTheme="majorHAnsi" w:hAnsiTheme="majorHAnsi"/>
                <w:sz w:val="24"/>
                <w:szCs w:val="24"/>
              </w:rPr>
            </w:pPr>
            <w:r w:rsidRPr="0093782F">
              <w:rPr>
                <w:rFonts w:asciiTheme="majorHAnsi" w:hAnsiTheme="majorHAnsi"/>
                <w:sz w:val="24"/>
                <w:szCs w:val="24"/>
              </w:rPr>
              <w:t>La reprise sur provision pour créance douteuse d’un montant de 100.000 TND se rapportant au dites provisions antérieurement réintégrées en totalité au résultat fiscal de l’année de constitution</w:t>
            </w:r>
            <w:r w:rsidR="00085F91">
              <w:rPr>
                <w:rFonts w:asciiTheme="majorHAnsi" w:hAnsiTheme="majorHAnsi"/>
                <w:sz w:val="24"/>
                <w:szCs w:val="24"/>
              </w:rPr>
              <w:t xml:space="preserve"> est déductible du résultat fiscal</w:t>
            </w:r>
            <w:r w:rsidRPr="0093782F">
              <w:rPr>
                <w:rFonts w:asciiTheme="majorHAnsi" w:hAnsiTheme="majorHAnsi"/>
                <w:sz w:val="24"/>
                <w:szCs w:val="24"/>
              </w:rPr>
              <w:t xml:space="preserve">. </w:t>
            </w:r>
          </w:p>
          <w:p w:rsidR="00002B64" w:rsidRDefault="008332CC" w:rsidP="00903A0B">
            <w:pPr>
              <w:pStyle w:val="Paragraphedeliste"/>
              <w:ind w:left="0"/>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 xml:space="preserve">article </w:t>
            </w:r>
            <w:r w:rsidR="00085F91">
              <w:rPr>
                <w:rFonts w:asciiTheme="majorHAnsi" w:hAnsiTheme="majorHAnsi"/>
                <w:sz w:val="24"/>
                <w:szCs w:val="24"/>
              </w:rPr>
              <w:t>12</w:t>
            </w:r>
            <w:r>
              <w:rPr>
                <w:rFonts w:asciiTheme="majorHAnsi" w:hAnsiTheme="majorHAnsi"/>
                <w:sz w:val="24"/>
                <w:szCs w:val="24"/>
              </w:rPr>
              <w:t xml:space="preserve"> du code IRPP et IS.</w:t>
            </w:r>
          </w:p>
          <w:p w:rsidR="009571A0" w:rsidRDefault="009571A0" w:rsidP="00903A0B">
            <w:pPr>
              <w:pStyle w:val="Paragraphedeliste"/>
              <w:ind w:left="0"/>
              <w:rPr>
                <w:rFonts w:asciiTheme="majorHAnsi" w:hAnsiTheme="majorHAnsi"/>
                <w:sz w:val="24"/>
                <w:szCs w:val="24"/>
              </w:rPr>
            </w:pPr>
          </w:p>
          <w:p w:rsidR="009571A0" w:rsidRPr="00922D2E" w:rsidRDefault="009571A0" w:rsidP="00903A0B">
            <w:pPr>
              <w:pStyle w:val="Paragraphedeliste"/>
              <w:ind w:left="0"/>
              <w:rPr>
                <w:rFonts w:asciiTheme="majorHAnsi" w:hAnsiTheme="majorHAnsi"/>
                <w:sz w:val="24"/>
                <w:szCs w:val="24"/>
              </w:rPr>
            </w:pPr>
          </w:p>
        </w:tc>
        <w:tc>
          <w:tcPr>
            <w:tcW w:w="2126" w:type="dxa"/>
            <w:vAlign w:val="center"/>
          </w:tcPr>
          <w:p w:rsidR="00002B64" w:rsidRDefault="00002B64" w:rsidP="00085F91">
            <w:pPr>
              <w:jc w:val="right"/>
            </w:pPr>
          </w:p>
        </w:tc>
        <w:tc>
          <w:tcPr>
            <w:tcW w:w="2126" w:type="dxa"/>
            <w:vAlign w:val="center"/>
          </w:tcPr>
          <w:p w:rsidR="00002B64" w:rsidRDefault="00085F91" w:rsidP="00CE25C2">
            <w:pPr>
              <w:jc w:val="right"/>
            </w:pPr>
            <w:r>
              <w:t>100.000,000</w:t>
            </w:r>
          </w:p>
        </w:tc>
      </w:tr>
      <w:tr w:rsidR="00903A0B" w:rsidTr="00CE25C2">
        <w:trPr>
          <w:trHeight w:val="396"/>
        </w:trPr>
        <w:tc>
          <w:tcPr>
            <w:tcW w:w="5495" w:type="dxa"/>
            <w:vAlign w:val="center"/>
          </w:tcPr>
          <w:p w:rsidR="009571A0" w:rsidRDefault="009571A0" w:rsidP="00472C5F">
            <w:pPr>
              <w:pStyle w:val="Paragraphedeliste"/>
              <w:ind w:left="0"/>
              <w:jc w:val="both"/>
              <w:rPr>
                <w:rFonts w:asciiTheme="majorHAnsi" w:hAnsiTheme="majorHAnsi"/>
                <w:sz w:val="24"/>
                <w:szCs w:val="24"/>
              </w:rPr>
            </w:pPr>
          </w:p>
          <w:p w:rsidR="00903A0B" w:rsidRDefault="00903A0B" w:rsidP="00472C5F">
            <w:pPr>
              <w:pStyle w:val="Paragraphedeliste"/>
              <w:ind w:left="0"/>
              <w:jc w:val="both"/>
              <w:rPr>
                <w:rFonts w:asciiTheme="majorHAnsi" w:hAnsiTheme="majorHAnsi"/>
                <w:sz w:val="24"/>
                <w:szCs w:val="24"/>
              </w:rPr>
            </w:pPr>
            <w:r>
              <w:rPr>
                <w:rFonts w:asciiTheme="majorHAnsi" w:hAnsiTheme="majorHAnsi"/>
                <w:sz w:val="24"/>
                <w:szCs w:val="24"/>
              </w:rPr>
              <w:t>Les frais de lancement d’un nouveau produit dont les avantages économiques futurs sont quasi démontrés constituent des charges à répartir sur plusieurs exercices.</w:t>
            </w:r>
          </w:p>
          <w:p w:rsidR="00903A0B" w:rsidRDefault="00903A0B" w:rsidP="00DB4A65">
            <w:pPr>
              <w:pStyle w:val="Paragraphedeliste"/>
              <w:ind w:left="0"/>
              <w:jc w:val="both"/>
              <w:rPr>
                <w:rFonts w:asciiTheme="majorHAnsi" w:hAnsiTheme="majorHAnsi"/>
                <w:sz w:val="24"/>
                <w:szCs w:val="24"/>
              </w:rPr>
            </w:pPr>
            <w:r>
              <w:rPr>
                <w:rFonts w:asciiTheme="majorHAnsi" w:hAnsiTheme="majorHAnsi"/>
                <w:sz w:val="24"/>
                <w:szCs w:val="24"/>
              </w:rPr>
              <w:t xml:space="preserve">Dotation </w:t>
            </w:r>
            <w:r w:rsidR="00DB4A65">
              <w:rPr>
                <w:rFonts w:asciiTheme="majorHAnsi" w:hAnsiTheme="majorHAnsi"/>
                <w:sz w:val="24"/>
                <w:szCs w:val="24"/>
              </w:rPr>
              <w:t>pour</w:t>
            </w:r>
            <w:r>
              <w:rPr>
                <w:rFonts w:asciiTheme="majorHAnsi" w:hAnsiTheme="majorHAnsi"/>
                <w:sz w:val="24"/>
                <w:szCs w:val="24"/>
              </w:rPr>
              <w:t xml:space="preserve"> résorption des charges à répartir pour l’exercice 2012 = 300.000/3 = 100.000</w:t>
            </w:r>
            <w:r w:rsidR="006A57D7">
              <w:rPr>
                <w:rFonts w:asciiTheme="majorHAnsi" w:hAnsiTheme="majorHAnsi"/>
                <w:sz w:val="24"/>
                <w:szCs w:val="24"/>
              </w:rPr>
              <w:t xml:space="preserve"> TND</w:t>
            </w:r>
          </w:p>
          <w:p w:rsidR="00903A0B" w:rsidRPr="006A57D7" w:rsidRDefault="00903A0B" w:rsidP="00903A0B">
            <w:pPr>
              <w:pStyle w:val="Paragraphedeliste"/>
              <w:ind w:left="0"/>
              <w:jc w:val="both"/>
              <w:rPr>
                <w:rFonts w:asciiTheme="majorHAnsi" w:hAnsiTheme="majorHAnsi"/>
                <w:sz w:val="24"/>
                <w:szCs w:val="24"/>
              </w:rPr>
            </w:pPr>
            <w:r>
              <w:rPr>
                <w:rFonts w:asciiTheme="majorHAnsi" w:hAnsiTheme="majorHAnsi"/>
                <w:sz w:val="24"/>
                <w:szCs w:val="24"/>
              </w:rPr>
              <w:t xml:space="preserve">Charge exagérée </w:t>
            </w:r>
            <w:r w:rsidRPr="006A57D7">
              <w:rPr>
                <w:rFonts w:asciiTheme="majorHAnsi" w:hAnsiTheme="majorHAnsi"/>
              </w:rPr>
              <w:t>= 300.000 – 100.000 = 200.000</w:t>
            </w:r>
            <w:r w:rsidR="006A57D7" w:rsidRPr="006A57D7">
              <w:rPr>
                <w:rFonts w:asciiTheme="majorHAnsi" w:hAnsiTheme="majorHAnsi"/>
              </w:rPr>
              <w:t xml:space="preserve"> </w:t>
            </w:r>
            <w:r w:rsidR="006A57D7" w:rsidRPr="006A57D7">
              <w:rPr>
                <w:rFonts w:asciiTheme="majorHAnsi" w:hAnsiTheme="majorHAnsi"/>
                <w:sz w:val="24"/>
                <w:szCs w:val="24"/>
              </w:rPr>
              <w:t>TND</w:t>
            </w:r>
          </w:p>
          <w:p w:rsidR="00903A0B" w:rsidRDefault="00903A0B" w:rsidP="00903A0B">
            <w:pPr>
              <w:pStyle w:val="Paragraphedeliste"/>
              <w:ind w:left="0"/>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12 du code IRPP et IS.</w:t>
            </w:r>
          </w:p>
          <w:p w:rsidR="00903A0B" w:rsidRDefault="00903A0B" w:rsidP="009571A0">
            <w:pPr>
              <w:pStyle w:val="Paragraphedeliste"/>
              <w:ind w:left="0"/>
              <w:rPr>
                <w:rFonts w:asciiTheme="majorHAnsi" w:hAnsiTheme="majorHAnsi"/>
                <w:sz w:val="24"/>
                <w:szCs w:val="24"/>
              </w:rPr>
            </w:pPr>
            <w:r>
              <w:rPr>
                <w:rFonts w:asciiTheme="majorHAnsi" w:hAnsiTheme="majorHAnsi"/>
                <w:sz w:val="24"/>
                <w:szCs w:val="24"/>
              </w:rPr>
              <w:t>Principe comptable de rattachement des charges aux produits et Norme</w:t>
            </w:r>
            <w:r w:rsidR="008F6050">
              <w:rPr>
                <w:rFonts w:asciiTheme="majorHAnsi" w:hAnsiTheme="majorHAnsi"/>
                <w:sz w:val="24"/>
                <w:szCs w:val="24"/>
              </w:rPr>
              <w:t xml:space="preserve"> comptable</w:t>
            </w:r>
            <w:r>
              <w:rPr>
                <w:rFonts w:asciiTheme="majorHAnsi" w:hAnsiTheme="majorHAnsi"/>
                <w:sz w:val="24"/>
                <w:szCs w:val="24"/>
              </w:rPr>
              <w:t xml:space="preserve"> NCT10.</w:t>
            </w:r>
          </w:p>
          <w:p w:rsidR="009571A0" w:rsidRDefault="009571A0" w:rsidP="009571A0">
            <w:pPr>
              <w:pStyle w:val="Paragraphedeliste"/>
              <w:ind w:left="0"/>
              <w:rPr>
                <w:rFonts w:asciiTheme="majorHAnsi" w:hAnsiTheme="majorHAnsi"/>
                <w:sz w:val="24"/>
                <w:szCs w:val="24"/>
              </w:rPr>
            </w:pPr>
          </w:p>
        </w:tc>
        <w:tc>
          <w:tcPr>
            <w:tcW w:w="2126" w:type="dxa"/>
            <w:vAlign w:val="center"/>
          </w:tcPr>
          <w:p w:rsidR="00903A0B" w:rsidRDefault="00903A0B" w:rsidP="00CE25C2">
            <w:pPr>
              <w:jc w:val="right"/>
            </w:pPr>
            <w:r>
              <w:t>200.000,000</w:t>
            </w:r>
          </w:p>
        </w:tc>
        <w:tc>
          <w:tcPr>
            <w:tcW w:w="2126" w:type="dxa"/>
            <w:vAlign w:val="center"/>
          </w:tcPr>
          <w:p w:rsidR="00903A0B" w:rsidRDefault="00903A0B" w:rsidP="00CE25C2">
            <w:pPr>
              <w:jc w:val="right"/>
            </w:pPr>
          </w:p>
        </w:tc>
      </w:tr>
      <w:tr w:rsidR="00472C5F" w:rsidTr="00CE25C2">
        <w:trPr>
          <w:trHeight w:val="396"/>
        </w:trPr>
        <w:tc>
          <w:tcPr>
            <w:tcW w:w="5495" w:type="dxa"/>
            <w:vAlign w:val="center"/>
          </w:tcPr>
          <w:p w:rsidR="009571A0" w:rsidRDefault="009571A0" w:rsidP="00B613B8">
            <w:pPr>
              <w:pStyle w:val="Paragraphedeliste"/>
              <w:ind w:left="0"/>
              <w:jc w:val="both"/>
              <w:rPr>
                <w:rFonts w:asciiTheme="majorHAnsi" w:hAnsiTheme="majorHAnsi"/>
                <w:sz w:val="24"/>
                <w:szCs w:val="24"/>
              </w:rPr>
            </w:pPr>
          </w:p>
          <w:p w:rsidR="00B613B8" w:rsidRDefault="00B613B8" w:rsidP="00B613B8">
            <w:pPr>
              <w:pStyle w:val="Paragraphedeliste"/>
              <w:ind w:left="0"/>
              <w:jc w:val="both"/>
              <w:rPr>
                <w:rFonts w:asciiTheme="majorHAnsi" w:hAnsiTheme="majorHAnsi"/>
                <w:sz w:val="24"/>
                <w:szCs w:val="24"/>
              </w:rPr>
            </w:pPr>
            <w:r>
              <w:rPr>
                <w:rFonts w:asciiTheme="majorHAnsi" w:hAnsiTheme="majorHAnsi"/>
                <w:sz w:val="24"/>
                <w:szCs w:val="24"/>
              </w:rPr>
              <w:t>La cession des titres de participation ne peut être inférieure à sa valeur mathématique</w:t>
            </w:r>
            <w:r w:rsidR="00E26D3B">
              <w:rPr>
                <w:rFonts w:asciiTheme="majorHAnsi" w:hAnsiTheme="majorHAnsi"/>
                <w:sz w:val="24"/>
                <w:szCs w:val="24"/>
              </w:rPr>
              <w:t xml:space="preserve"> calculée </w:t>
            </w:r>
            <w:r w:rsidR="00D56C20">
              <w:rPr>
                <w:rFonts w:asciiTheme="majorHAnsi" w:hAnsiTheme="majorHAnsi"/>
                <w:sz w:val="24"/>
                <w:szCs w:val="24"/>
              </w:rPr>
              <w:t>au 31 décembre de l’année qui précède la cession</w:t>
            </w:r>
            <w:r>
              <w:rPr>
                <w:rFonts w:asciiTheme="majorHAnsi" w:hAnsiTheme="majorHAnsi"/>
                <w:sz w:val="24"/>
                <w:szCs w:val="24"/>
              </w:rPr>
              <w:t>.</w:t>
            </w:r>
          </w:p>
          <w:p w:rsidR="00B613B8" w:rsidRDefault="00B613B8" w:rsidP="00B613B8">
            <w:pPr>
              <w:pStyle w:val="Paragraphedeliste"/>
              <w:ind w:left="0"/>
              <w:jc w:val="both"/>
              <w:rPr>
                <w:rFonts w:asciiTheme="majorHAnsi" w:hAnsiTheme="majorHAnsi"/>
                <w:sz w:val="24"/>
                <w:szCs w:val="24"/>
              </w:rPr>
            </w:pPr>
            <w:r>
              <w:rPr>
                <w:rFonts w:asciiTheme="majorHAnsi" w:hAnsiTheme="majorHAnsi"/>
                <w:sz w:val="24"/>
                <w:szCs w:val="24"/>
              </w:rPr>
              <w:t>La valeur mathématique des titres est déterminée en fonction des capitaux propres arrêtés à la date de l’exercice clos le 31 décembre de l’exercice N-1 de la cession.</w:t>
            </w:r>
          </w:p>
          <w:p w:rsidR="00807C13" w:rsidRDefault="00B613B8" w:rsidP="00B613B8">
            <w:pPr>
              <w:pStyle w:val="Paragraphedeliste"/>
              <w:ind w:left="0"/>
              <w:jc w:val="both"/>
              <w:rPr>
                <w:rFonts w:asciiTheme="majorHAnsi" w:hAnsiTheme="majorHAnsi"/>
                <w:sz w:val="24"/>
                <w:szCs w:val="24"/>
              </w:rPr>
            </w:pPr>
            <w:r>
              <w:rPr>
                <w:rFonts w:asciiTheme="majorHAnsi" w:hAnsiTheme="majorHAnsi"/>
                <w:sz w:val="24"/>
                <w:szCs w:val="24"/>
              </w:rPr>
              <w:t>Valeur mathématique = CP/nombre des titres = 394.748,404/3.000 =</w:t>
            </w:r>
            <w:r w:rsidR="00807C13">
              <w:rPr>
                <w:rFonts w:asciiTheme="majorHAnsi" w:hAnsiTheme="majorHAnsi"/>
                <w:sz w:val="24"/>
                <w:szCs w:val="24"/>
              </w:rPr>
              <w:t xml:space="preserve"> 131,583 TND</w:t>
            </w:r>
          </w:p>
          <w:p w:rsidR="00807C13" w:rsidRDefault="00807C13" w:rsidP="00807C13">
            <w:pPr>
              <w:pStyle w:val="Paragraphedeliste"/>
              <w:ind w:left="0"/>
              <w:jc w:val="both"/>
              <w:rPr>
                <w:rFonts w:asciiTheme="majorHAnsi" w:hAnsiTheme="majorHAnsi"/>
                <w:sz w:val="24"/>
                <w:szCs w:val="24"/>
              </w:rPr>
            </w:pPr>
            <w:r>
              <w:rPr>
                <w:rFonts w:asciiTheme="majorHAnsi" w:hAnsiTheme="majorHAnsi"/>
                <w:sz w:val="24"/>
                <w:szCs w:val="24"/>
              </w:rPr>
              <w:t xml:space="preserve">Plus value de cession = 1500 </w:t>
            </w:r>
            <w:bookmarkStart w:id="0" w:name="OLE_LINK1"/>
            <w:r>
              <w:rPr>
                <w:rFonts w:asciiTheme="majorHAnsi" w:hAnsiTheme="majorHAnsi"/>
              </w:rPr>
              <w:t>*</w:t>
            </w:r>
            <w:bookmarkEnd w:id="0"/>
            <w:r>
              <w:rPr>
                <w:rFonts w:asciiTheme="majorHAnsi" w:hAnsiTheme="majorHAnsi"/>
              </w:rPr>
              <w:t xml:space="preserve"> </w:t>
            </w:r>
            <w:r w:rsidRPr="00807C13">
              <w:rPr>
                <w:rFonts w:asciiTheme="majorHAnsi" w:hAnsiTheme="majorHAnsi"/>
              </w:rPr>
              <w:t>(</w:t>
            </w:r>
            <w:r>
              <w:rPr>
                <w:rFonts w:asciiTheme="majorHAnsi" w:hAnsiTheme="majorHAnsi"/>
                <w:sz w:val="24"/>
                <w:szCs w:val="24"/>
              </w:rPr>
              <w:t>131,583</w:t>
            </w:r>
            <w:r>
              <w:rPr>
                <w:rFonts w:asciiTheme="majorHAnsi" w:hAnsiTheme="majorHAnsi"/>
                <w:sz w:val="24"/>
                <w:szCs w:val="24"/>
                <w:lang w:bidi="ar-TN"/>
              </w:rPr>
              <w:t xml:space="preserve"> – 100,000</w:t>
            </w:r>
            <w:r>
              <w:rPr>
                <w:rFonts w:asciiTheme="majorHAnsi" w:hAnsiTheme="majorHAnsi"/>
                <w:sz w:val="24"/>
                <w:szCs w:val="24"/>
              </w:rPr>
              <w:t>) = 47.374,500 TND</w:t>
            </w:r>
          </w:p>
          <w:p w:rsidR="00807C13" w:rsidRDefault="00807C13" w:rsidP="00807C13">
            <w:pPr>
              <w:pStyle w:val="Paragraphedeliste"/>
              <w:ind w:left="0"/>
              <w:jc w:val="both"/>
              <w:rPr>
                <w:rFonts w:asciiTheme="majorHAnsi" w:hAnsiTheme="majorHAnsi"/>
                <w:sz w:val="24"/>
                <w:szCs w:val="24"/>
              </w:rPr>
            </w:pPr>
            <w:r>
              <w:rPr>
                <w:rFonts w:asciiTheme="majorHAnsi" w:hAnsiTheme="majorHAnsi"/>
                <w:sz w:val="24"/>
                <w:szCs w:val="24"/>
              </w:rPr>
              <w:t>Réintégration de la moins value = 15.000 TND</w:t>
            </w:r>
          </w:p>
          <w:p w:rsidR="00472C5F" w:rsidRDefault="00807C13" w:rsidP="00807C13">
            <w:pPr>
              <w:pStyle w:val="Paragraphedeliste"/>
              <w:ind w:left="0"/>
              <w:jc w:val="both"/>
              <w:rPr>
                <w:rFonts w:asciiTheme="majorHAnsi" w:hAnsiTheme="majorHAnsi"/>
                <w:sz w:val="24"/>
                <w:szCs w:val="24"/>
              </w:rPr>
            </w:pPr>
            <w:r>
              <w:rPr>
                <w:rFonts w:asciiTheme="majorHAnsi" w:hAnsiTheme="majorHAnsi"/>
              </w:rPr>
              <w:t xml:space="preserve"> </w:t>
            </w:r>
            <w:r>
              <w:rPr>
                <w:rFonts w:asciiTheme="majorHAnsi" w:hAnsiTheme="majorHAnsi"/>
                <w:sz w:val="24"/>
                <w:szCs w:val="24"/>
              </w:rPr>
              <w:t xml:space="preserve"> </w:t>
            </w:r>
            <w:r w:rsidR="008332CC" w:rsidRPr="008332CC">
              <w:rPr>
                <w:rFonts w:asciiTheme="majorHAnsi" w:hAnsiTheme="majorHAnsi"/>
                <w:b/>
                <w:bCs/>
                <w:i/>
                <w:iCs/>
                <w:sz w:val="24"/>
                <w:szCs w:val="24"/>
              </w:rPr>
              <w:t xml:space="preserve">Argumentations : </w:t>
            </w:r>
            <w:r w:rsidR="008332CC">
              <w:rPr>
                <w:rFonts w:asciiTheme="majorHAnsi" w:hAnsiTheme="majorHAnsi"/>
                <w:sz w:val="24"/>
                <w:szCs w:val="24"/>
              </w:rPr>
              <w:t>article 11 du code IRPP et IS.</w:t>
            </w:r>
          </w:p>
          <w:p w:rsidR="00807C13" w:rsidRDefault="00807C13" w:rsidP="00807C13">
            <w:pPr>
              <w:pStyle w:val="Paragraphedeliste"/>
              <w:ind w:left="0"/>
              <w:jc w:val="both"/>
              <w:rPr>
                <w:rFonts w:asciiTheme="majorHAnsi" w:hAnsiTheme="majorHAnsi"/>
                <w:sz w:val="24"/>
                <w:szCs w:val="24"/>
              </w:rPr>
            </w:pPr>
            <w:r>
              <w:rPr>
                <w:rFonts w:asciiTheme="majorHAnsi" w:hAnsiTheme="majorHAnsi"/>
                <w:sz w:val="24"/>
                <w:szCs w:val="24"/>
              </w:rPr>
              <w:t>Article 6 et 38 du CDPF</w:t>
            </w:r>
          </w:p>
          <w:p w:rsidR="009571A0" w:rsidRPr="00922D2E" w:rsidRDefault="009571A0" w:rsidP="00807C13">
            <w:pPr>
              <w:pStyle w:val="Paragraphedeliste"/>
              <w:ind w:left="0"/>
              <w:jc w:val="both"/>
              <w:rPr>
                <w:rFonts w:asciiTheme="majorHAnsi" w:hAnsiTheme="majorHAnsi"/>
                <w:sz w:val="24"/>
                <w:szCs w:val="24"/>
              </w:rPr>
            </w:pPr>
          </w:p>
        </w:tc>
        <w:tc>
          <w:tcPr>
            <w:tcW w:w="2126" w:type="dxa"/>
            <w:vAlign w:val="center"/>
          </w:tcPr>
          <w:p w:rsidR="00807C13" w:rsidRPr="00807C13" w:rsidRDefault="00807C13" w:rsidP="00CE25C2">
            <w:pPr>
              <w:jc w:val="right"/>
            </w:pPr>
          </w:p>
          <w:p w:rsidR="00807C13" w:rsidRPr="00807C13" w:rsidRDefault="00807C13" w:rsidP="00CE25C2">
            <w:pPr>
              <w:jc w:val="right"/>
            </w:pPr>
          </w:p>
          <w:p w:rsidR="00807C13" w:rsidRPr="00807C13" w:rsidRDefault="00807C13" w:rsidP="00CE25C2">
            <w:pPr>
              <w:jc w:val="right"/>
            </w:pPr>
          </w:p>
          <w:p w:rsidR="00807C13" w:rsidRPr="00807C13" w:rsidRDefault="00807C13" w:rsidP="00CE25C2">
            <w:pPr>
              <w:jc w:val="right"/>
            </w:pPr>
          </w:p>
          <w:p w:rsidR="00807C13" w:rsidRDefault="00807C13" w:rsidP="00CE25C2">
            <w:pPr>
              <w:jc w:val="right"/>
            </w:pPr>
          </w:p>
          <w:p w:rsidR="00807C13" w:rsidRDefault="00807C13" w:rsidP="00CE25C2">
            <w:pPr>
              <w:jc w:val="right"/>
            </w:pPr>
          </w:p>
          <w:p w:rsidR="00807C13" w:rsidRPr="00807C13" w:rsidRDefault="00807C13" w:rsidP="00CE25C2">
            <w:pPr>
              <w:jc w:val="right"/>
            </w:pPr>
          </w:p>
          <w:p w:rsidR="00807C13" w:rsidRPr="00807C13" w:rsidRDefault="00807C13" w:rsidP="00CE25C2">
            <w:pPr>
              <w:jc w:val="right"/>
            </w:pPr>
          </w:p>
          <w:p w:rsidR="00472C5F" w:rsidRPr="00807C13" w:rsidRDefault="00807C13" w:rsidP="00CE25C2">
            <w:pPr>
              <w:jc w:val="right"/>
            </w:pPr>
            <w:r w:rsidRPr="00807C13">
              <w:t>47.374,500</w:t>
            </w:r>
          </w:p>
          <w:p w:rsidR="00807C13" w:rsidRDefault="00807C13" w:rsidP="00CE25C2">
            <w:pPr>
              <w:jc w:val="right"/>
            </w:pPr>
            <w:r w:rsidRPr="00807C13">
              <w:t>15.000,000</w:t>
            </w:r>
          </w:p>
        </w:tc>
        <w:tc>
          <w:tcPr>
            <w:tcW w:w="2126" w:type="dxa"/>
            <w:vAlign w:val="center"/>
          </w:tcPr>
          <w:p w:rsidR="00472C5F" w:rsidRDefault="00472C5F" w:rsidP="00CE25C2">
            <w:pPr>
              <w:jc w:val="right"/>
            </w:pPr>
          </w:p>
        </w:tc>
      </w:tr>
      <w:tr w:rsidR="00472C5F" w:rsidTr="008937DE">
        <w:trPr>
          <w:trHeight w:val="815"/>
        </w:trPr>
        <w:tc>
          <w:tcPr>
            <w:tcW w:w="5495" w:type="dxa"/>
            <w:vAlign w:val="center"/>
          </w:tcPr>
          <w:p w:rsidR="009571A0" w:rsidRDefault="009571A0" w:rsidP="00807C13">
            <w:pPr>
              <w:pStyle w:val="Paragraphedeliste"/>
              <w:ind w:left="0"/>
              <w:jc w:val="both"/>
              <w:rPr>
                <w:rFonts w:asciiTheme="majorHAnsi" w:hAnsiTheme="majorHAnsi"/>
                <w:sz w:val="24"/>
                <w:szCs w:val="24"/>
              </w:rPr>
            </w:pPr>
          </w:p>
          <w:p w:rsidR="00807C13" w:rsidRDefault="00472C5F" w:rsidP="00807C13">
            <w:pPr>
              <w:pStyle w:val="Paragraphedeliste"/>
              <w:ind w:left="0"/>
              <w:jc w:val="both"/>
              <w:rPr>
                <w:rFonts w:asciiTheme="majorHAnsi" w:hAnsiTheme="majorHAnsi"/>
                <w:sz w:val="24"/>
                <w:szCs w:val="24"/>
              </w:rPr>
            </w:pPr>
            <w:r w:rsidRPr="00807C13">
              <w:rPr>
                <w:rFonts w:asciiTheme="majorHAnsi" w:hAnsiTheme="majorHAnsi"/>
                <w:sz w:val="24"/>
                <w:szCs w:val="24"/>
              </w:rPr>
              <w:t>Réintégration</w:t>
            </w:r>
            <w:r w:rsidR="00807C13" w:rsidRPr="00807C13">
              <w:rPr>
                <w:rFonts w:asciiTheme="majorHAnsi" w:hAnsiTheme="majorHAnsi"/>
                <w:sz w:val="24"/>
                <w:szCs w:val="24"/>
              </w:rPr>
              <w:t xml:space="preserve"> </w:t>
            </w:r>
            <w:r w:rsidR="00807C13">
              <w:rPr>
                <w:rFonts w:asciiTheme="majorHAnsi" w:hAnsiTheme="majorHAnsi"/>
                <w:sz w:val="24"/>
                <w:szCs w:val="24"/>
              </w:rPr>
              <w:t xml:space="preserve">de la </w:t>
            </w:r>
            <w:r w:rsidR="00807C13" w:rsidRPr="00807C13">
              <w:rPr>
                <w:rFonts w:asciiTheme="majorHAnsi" w:hAnsiTheme="majorHAnsi"/>
                <w:sz w:val="24"/>
                <w:szCs w:val="24"/>
              </w:rPr>
              <w:t xml:space="preserve">perte suite à l’annulation de la moitié des titres de participation que la société « ABC » détient dans le capital d’une entreprise en difficulté économique régit par la loi </w:t>
            </w:r>
            <w:r w:rsidR="00F261BC">
              <w:rPr>
                <w:rFonts w:asciiTheme="majorHAnsi" w:hAnsiTheme="majorHAnsi"/>
                <w:sz w:val="24"/>
                <w:szCs w:val="24"/>
              </w:rPr>
              <w:t xml:space="preserve">n° 95-34 </w:t>
            </w:r>
            <w:r w:rsidR="00807C13" w:rsidRPr="00807C13">
              <w:rPr>
                <w:rFonts w:asciiTheme="majorHAnsi" w:hAnsiTheme="majorHAnsi"/>
                <w:sz w:val="24"/>
                <w:szCs w:val="24"/>
              </w:rPr>
              <w:t>du 17 avril 1995 ayant procédé à l’absorption de ces pertes par la réduction de son capitale.</w:t>
            </w:r>
          </w:p>
          <w:p w:rsidR="00807C13" w:rsidRDefault="002208FA" w:rsidP="002208FA">
            <w:pPr>
              <w:pStyle w:val="Paragraphedeliste"/>
              <w:ind w:left="0"/>
              <w:jc w:val="both"/>
              <w:rPr>
                <w:rFonts w:asciiTheme="majorHAnsi" w:hAnsiTheme="majorHAnsi"/>
                <w:sz w:val="24"/>
                <w:szCs w:val="24"/>
              </w:rPr>
            </w:pPr>
            <w:r>
              <w:rPr>
                <w:rFonts w:asciiTheme="majorHAnsi" w:hAnsiTheme="majorHAnsi"/>
                <w:sz w:val="24"/>
                <w:szCs w:val="24"/>
              </w:rPr>
              <w:t>La perte n’est subie qu’à la cession effective des titres.</w:t>
            </w:r>
          </w:p>
          <w:p w:rsidR="008332CC" w:rsidRPr="00D56C20" w:rsidRDefault="008332CC" w:rsidP="008332CC">
            <w:pPr>
              <w:jc w:val="both"/>
              <w:rPr>
                <w:rFonts w:asciiTheme="majorHAnsi" w:hAnsiTheme="majorHAnsi"/>
              </w:rPr>
            </w:pPr>
            <w:r w:rsidRPr="00D56C20">
              <w:rPr>
                <w:rFonts w:asciiTheme="majorHAnsi" w:hAnsiTheme="majorHAnsi"/>
                <w:b/>
                <w:bCs/>
                <w:i/>
                <w:iCs/>
              </w:rPr>
              <w:t>Argumentations :</w:t>
            </w:r>
            <w:r w:rsidRPr="00D56C20">
              <w:rPr>
                <w:rFonts w:asciiTheme="majorHAnsi" w:hAnsiTheme="majorHAnsi"/>
              </w:rPr>
              <w:t xml:space="preserve"> article</w:t>
            </w:r>
            <w:r w:rsidR="00D56C20" w:rsidRPr="00D56C20">
              <w:rPr>
                <w:rFonts w:asciiTheme="majorHAnsi" w:hAnsiTheme="majorHAnsi"/>
              </w:rPr>
              <w:t>s 11 et</w:t>
            </w:r>
            <w:r w:rsidRPr="00D56C20">
              <w:rPr>
                <w:rFonts w:asciiTheme="majorHAnsi" w:hAnsiTheme="majorHAnsi"/>
              </w:rPr>
              <w:t xml:space="preserve"> 12 du code</w:t>
            </w:r>
            <w:r w:rsidR="008311EC" w:rsidRPr="00D56C20">
              <w:rPr>
                <w:rFonts w:asciiTheme="majorHAnsi" w:hAnsiTheme="majorHAnsi"/>
              </w:rPr>
              <w:t xml:space="preserve"> IRPP et IS.</w:t>
            </w:r>
          </w:p>
          <w:p w:rsidR="00D56C20" w:rsidRPr="009571A0" w:rsidRDefault="00D56C20" w:rsidP="00974F0E">
            <w:pPr>
              <w:ind w:left="62" w:hanging="62"/>
              <w:jc w:val="both"/>
              <w:rPr>
                <w:rFonts w:asciiTheme="majorHAnsi" w:hAnsiTheme="majorHAnsi"/>
                <w:sz w:val="24"/>
                <w:szCs w:val="24"/>
              </w:rPr>
            </w:pPr>
            <w:r w:rsidRPr="00D56C20">
              <w:rPr>
                <w:rFonts w:asciiTheme="majorHAnsi" w:hAnsiTheme="majorHAnsi"/>
                <w:b/>
                <w:bCs/>
                <w:i/>
                <w:iCs/>
                <w:sz w:val="24"/>
                <w:szCs w:val="24"/>
              </w:rPr>
              <w:t>Doctrine fiscal comparée</w:t>
            </w:r>
            <w:r>
              <w:rPr>
                <w:rFonts w:asciiTheme="majorHAnsi" w:hAnsiTheme="majorHAnsi"/>
                <w:sz w:val="24"/>
                <w:szCs w:val="24"/>
              </w:rPr>
              <w:t> </w:t>
            </w:r>
            <w:r w:rsidRPr="009571A0">
              <w:rPr>
                <w:rFonts w:asciiTheme="majorHAnsi" w:hAnsiTheme="majorHAnsi"/>
                <w:sz w:val="24"/>
                <w:szCs w:val="24"/>
              </w:rPr>
              <w:t>« l’annulation de titres consécutive à une réduction de capital motivée par des pertes n’est pas assimilable à une cession de titre et n’autorise donc pas la déduction d’une perte</w:t>
            </w:r>
            <w:r w:rsidRPr="009571A0">
              <w:rPr>
                <w:rFonts w:asciiTheme="majorHAnsi" w:hAnsiTheme="majorHAnsi" w:hint="cs"/>
                <w:sz w:val="24"/>
                <w:szCs w:val="24"/>
                <w:rtl/>
              </w:rPr>
              <w:t>.</w:t>
            </w:r>
            <w:r w:rsidRPr="009571A0">
              <w:rPr>
                <w:rFonts w:asciiTheme="majorHAnsi" w:hAnsiTheme="majorHAnsi"/>
                <w:sz w:val="24"/>
                <w:szCs w:val="24"/>
              </w:rPr>
              <w:t xml:space="preserve"> L’entreprise peut seulement constater la perte de valeur des titres par le biais d’une provision pour dépréciation, dans les conditions prévues n° 1674 et 1705 s. (CE 23-1-1980 : RJF 3/80 n° 195 : annulation d’une action sur deux, laissant le pourcentage de déduction inchangé.</w:t>
            </w:r>
          </w:p>
          <w:p w:rsidR="009571A0" w:rsidRDefault="009571A0" w:rsidP="00974F0E">
            <w:pPr>
              <w:ind w:left="62" w:hanging="62"/>
              <w:jc w:val="both"/>
              <w:rPr>
                <w:rFonts w:ascii="Cambria" w:eastAsia="Calibri" w:hAnsi="Cambria" w:cs="Arial"/>
              </w:rPr>
            </w:pPr>
          </w:p>
          <w:p w:rsidR="009571A0" w:rsidRPr="00D56C20" w:rsidRDefault="009571A0" w:rsidP="00974F0E">
            <w:pPr>
              <w:ind w:left="62" w:hanging="62"/>
              <w:jc w:val="both"/>
              <w:rPr>
                <w:rFonts w:ascii="Cambria" w:eastAsia="Calibri" w:hAnsi="Cambria" w:cs="Arial"/>
              </w:rPr>
            </w:pPr>
          </w:p>
          <w:p w:rsidR="009571A0" w:rsidRDefault="00D56C20" w:rsidP="00D56C20">
            <w:pPr>
              <w:jc w:val="both"/>
              <w:rPr>
                <w:rFonts w:ascii="Cambria" w:eastAsia="Calibri" w:hAnsi="Cambria" w:cs="Arial"/>
              </w:rPr>
            </w:pPr>
            <w:r w:rsidRPr="00D56C20">
              <w:rPr>
                <w:rFonts w:ascii="Cambria" w:eastAsia="Calibri" w:hAnsi="Cambria" w:cs="Arial"/>
              </w:rPr>
              <w:t xml:space="preserve">    </w:t>
            </w:r>
          </w:p>
          <w:p w:rsidR="00D56C20" w:rsidRPr="009571A0" w:rsidRDefault="00D56C20" w:rsidP="009571A0">
            <w:pPr>
              <w:ind w:left="62" w:hanging="62"/>
              <w:jc w:val="both"/>
              <w:rPr>
                <w:rFonts w:asciiTheme="majorHAnsi" w:hAnsiTheme="majorHAnsi"/>
                <w:sz w:val="24"/>
                <w:szCs w:val="24"/>
              </w:rPr>
            </w:pPr>
            <w:r w:rsidRPr="00D56C20">
              <w:rPr>
                <w:rFonts w:ascii="Cambria" w:eastAsia="Calibri" w:hAnsi="Cambria" w:cs="Arial"/>
              </w:rPr>
              <w:t xml:space="preserve"> </w:t>
            </w:r>
            <w:r w:rsidRPr="009571A0">
              <w:rPr>
                <w:rFonts w:asciiTheme="majorHAnsi" w:hAnsiTheme="majorHAnsi"/>
                <w:sz w:val="24"/>
                <w:szCs w:val="24"/>
              </w:rPr>
              <w:t>Même solution dans le cas d’une annulation totale des titres suivie d’une augmentation de capital, des lors que les anciens actionnaires bénéficiaient d’un droit préférentiel de souscription à l’augmentation de capital et qu’à l’issue de cette opération, le pourcentage de participation dans le capital de la société a augmente (CCA Paris 16 – 03 – 2006 n° 03- 255 : RGF 7/06 n° 828.</w:t>
            </w:r>
          </w:p>
          <w:p w:rsidR="009571A0" w:rsidRPr="00922D2E" w:rsidRDefault="009571A0" w:rsidP="00D56C20">
            <w:pPr>
              <w:jc w:val="both"/>
              <w:rPr>
                <w:rFonts w:asciiTheme="majorHAnsi" w:hAnsiTheme="majorHAnsi"/>
                <w:sz w:val="24"/>
                <w:szCs w:val="24"/>
              </w:rPr>
            </w:pPr>
          </w:p>
        </w:tc>
        <w:tc>
          <w:tcPr>
            <w:tcW w:w="2126" w:type="dxa"/>
            <w:vAlign w:val="center"/>
          </w:tcPr>
          <w:p w:rsidR="00472C5F" w:rsidRDefault="002208FA" w:rsidP="00CE25C2">
            <w:pPr>
              <w:jc w:val="right"/>
            </w:pPr>
            <w:r>
              <w:lastRenderedPageBreak/>
              <w:t>5</w:t>
            </w:r>
            <w:r w:rsidR="00472C5F">
              <w:t>0.000,000</w:t>
            </w:r>
          </w:p>
        </w:tc>
        <w:tc>
          <w:tcPr>
            <w:tcW w:w="2126" w:type="dxa"/>
            <w:vAlign w:val="center"/>
          </w:tcPr>
          <w:p w:rsidR="00472C5F" w:rsidRDefault="00472C5F" w:rsidP="00CE25C2">
            <w:pPr>
              <w:jc w:val="right"/>
            </w:pPr>
          </w:p>
        </w:tc>
      </w:tr>
      <w:tr w:rsidR="005E1BF0" w:rsidTr="008937DE">
        <w:trPr>
          <w:trHeight w:val="815"/>
        </w:trPr>
        <w:tc>
          <w:tcPr>
            <w:tcW w:w="5495" w:type="dxa"/>
            <w:vAlign w:val="center"/>
          </w:tcPr>
          <w:p w:rsidR="009571A0" w:rsidRDefault="009571A0" w:rsidP="00807C13">
            <w:pPr>
              <w:pStyle w:val="Paragraphedeliste"/>
              <w:ind w:left="0"/>
              <w:jc w:val="both"/>
              <w:rPr>
                <w:rFonts w:asciiTheme="majorHAnsi" w:hAnsiTheme="majorHAnsi"/>
                <w:sz w:val="24"/>
                <w:szCs w:val="24"/>
              </w:rPr>
            </w:pPr>
          </w:p>
          <w:p w:rsidR="00560034" w:rsidRDefault="00560034" w:rsidP="00807C13">
            <w:pPr>
              <w:pStyle w:val="Paragraphedeliste"/>
              <w:ind w:left="0"/>
              <w:jc w:val="both"/>
              <w:rPr>
                <w:rFonts w:asciiTheme="majorHAnsi" w:hAnsiTheme="majorHAnsi"/>
                <w:sz w:val="24"/>
                <w:szCs w:val="24"/>
              </w:rPr>
            </w:pPr>
            <w:r>
              <w:rPr>
                <w:rFonts w:asciiTheme="majorHAnsi" w:hAnsiTheme="majorHAnsi"/>
                <w:sz w:val="24"/>
                <w:szCs w:val="24"/>
              </w:rPr>
              <w:t>Moins-value déductible </w:t>
            </w:r>
          </w:p>
          <w:p w:rsidR="005E1BF0" w:rsidRDefault="005E1BF0" w:rsidP="00807C13">
            <w:pPr>
              <w:pStyle w:val="Paragraphedeliste"/>
              <w:ind w:left="0"/>
              <w:jc w:val="both"/>
              <w:rPr>
                <w:rFonts w:asciiTheme="majorHAnsi" w:hAnsiTheme="majorHAnsi"/>
                <w:sz w:val="24"/>
                <w:szCs w:val="24"/>
              </w:rPr>
            </w:pPr>
            <w:r>
              <w:rPr>
                <w:rFonts w:asciiTheme="majorHAnsi" w:hAnsiTheme="majorHAnsi"/>
                <w:sz w:val="24"/>
                <w:szCs w:val="24"/>
              </w:rPr>
              <w:t>Imposition des 2/5 de la plus value de fusion suite à la cession des biens reçus :</w:t>
            </w:r>
          </w:p>
          <w:p w:rsidR="005E1BF0" w:rsidRDefault="005E1BF0" w:rsidP="00173A1B">
            <w:pPr>
              <w:pStyle w:val="Paragraphedeliste"/>
              <w:ind w:left="0"/>
              <w:jc w:val="both"/>
              <w:rPr>
                <w:rFonts w:asciiTheme="majorHAnsi" w:hAnsiTheme="majorHAnsi"/>
                <w:sz w:val="24"/>
                <w:szCs w:val="24"/>
              </w:rPr>
            </w:pPr>
            <w:r>
              <w:rPr>
                <w:rFonts w:asciiTheme="majorHAnsi" w:hAnsiTheme="majorHAnsi"/>
                <w:sz w:val="24"/>
                <w:szCs w:val="24"/>
              </w:rPr>
              <w:t>Plus value de fusion imposable che</w:t>
            </w:r>
            <w:r w:rsidR="00A32B01">
              <w:rPr>
                <w:rFonts w:asciiTheme="majorHAnsi" w:hAnsiTheme="majorHAnsi"/>
                <w:sz w:val="24"/>
                <w:szCs w:val="24"/>
              </w:rPr>
              <w:t>z</w:t>
            </w:r>
            <w:r>
              <w:rPr>
                <w:rFonts w:asciiTheme="majorHAnsi" w:hAnsiTheme="majorHAnsi"/>
                <w:sz w:val="24"/>
                <w:szCs w:val="24"/>
              </w:rPr>
              <w:t xml:space="preserve"> la société « ABC » = (100.000 – </w:t>
            </w:r>
            <w:r w:rsidR="00173A1B">
              <w:rPr>
                <w:rFonts w:asciiTheme="majorHAnsi" w:hAnsiTheme="majorHAnsi"/>
                <w:sz w:val="24"/>
                <w:szCs w:val="24"/>
              </w:rPr>
              <w:t>6</w:t>
            </w:r>
            <w:r>
              <w:rPr>
                <w:rFonts w:asciiTheme="majorHAnsi" w:hAnsiTheme="majorHAnsi"/>
                <w:sz w:val="24"/>
                <w:szCs w:val="24"/>
              </w:rPr>
              <w:t xml:space="preserve">0.000)/2 = </w:t>
            </w:r>
            <w:r w:rsidR="00173A1B">
              <w:rPr>
                <w:rFonts w:asciiTheme="majorHAnsi" w:hAnsiTheme="majorHAnsi"/>
                <w:sz w:val="24"/>
                <w:szCs w:val="24"/>
              </w:rPr>
              <w:t>2</w:t>
            </w:r>
            <w:r>
              <w:rPr>
                <w:rFonts w:asciiTheme="majorHAnsi" w:hAnsiTheme="majorHAnsi"/>
                <w:sz w:val="24"/>
                <w:szCs w:val="24"/>
              </w:rPr>
              <w:t>0.000 TND</w:t>
            </w:r>
          </w:p>
          <w:p w:rsidR="005E1BF0" w:rsidRDefault="005E1BF0" w:rsidP="00173A1B">
            <w:pPr>
              <w:pStyle w:val="Paragraphedeliste"/>
              <w:ind w:left="0"/>
              <w:jc w:val="both"/>
              <w:rPr>
                <w:rFonts w:asciiTheme="majorHAnsi" w:hAnsiTheme="majorHAnsi"/>
                <w:sz w:val="24"/>
                <w:szCs w:val="24"/>
              </w:rPr>
            </w:pPr>
            <w:r>
              <w:rPr>
                <w:rFonts w:asciiTheme="majorHAnsi" w:hAnsiTheme="majorHAnsi"/>
                <w:sz w:val="24"/>
                <w:szCs w:val="24"/>
              </w:rPr>
              <w:t xml:space="preserve">2/5 * </w:t>
            </w:r>
            <w:r w:rsidR="00173A1B">
              <w:rPr>
                <w:rFonts w:asciiTheme="majorHAnsi" w:hAnsiTheme="majorHAnsi"/>
                <w:sz w:val="24"/>
                <w:szCs w:val="24"/>
              </w:rPr>
              <w:t>2</w:t>
            </w:r>
            <w:r>
              <w:rPr>
                <w:rFonts w:asciiTheme="majorHAnsi" w:hAnsiTheme="majorHAnsi"/>
                <w:sz w:val="24"/>
                <w:szCs w:val="24"/>
              </w:rPr>
              <w:t xml:space="preserve">0.000 = </w:t>
            </w:r>
            <w:r w:rsidR="00173A1B">
              <w:rPr>
                <w:rFonts w:asciiTheme="majorHAnsi" w:hAnsiTheme="majorHAnsi"/>
                <w:sz w:val="24"/>
                <w:szCs w:val="24"/>
              </w:rPr>
              <w:t>8</w:t>
            </w:r>
            <w:r>
              <w:rPr>
                <w:rFonts w:asciiTheme="majorHAnsi" w:hAnsiTheme="majorHAnsi"/>
                <w:sz w:val="24"/>
                <w:szCs w:val="24"/>
              </w:rPr>
              <w:t xml:space="preserve">.000 TND </w:t>
            </w:r>
          </w:p>
          <w:p w:rsidR="00940406" w:rsidRDefault="005E1BF0" w:rsidP="00D56C20">
            <w:pPr>
              <w:pStyle w:val="Paragraphedeliste"/>
              <w:ind w:left="0"/>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11-I et 12 du code IRPP et IS.</w:t>
            </w:r>
          </w:p>
          <w:p w:rsidR="009571A0" w:rsidRPr="00807C13" w:rsidRDefault="009571A0" w:rsidP="00D56C20">
            <w:pPr>
              <w:pStyle w:val="Paragraphedeliste"/>
              <w:ind w:left="0"/>
              <w:jc w:val="both"/>
              <w:rPr>
                <w:rFonts w:asciiTheme="majorHAnsi" w:hAnsiTheme="majorHAnsi"/>
                <w:sz w:val="24"/>
                <w:szCs w:val="24"/>
              </w:rPr>
            </w:pPr>
          </w:p>
        </w:tc>
        <w:tc>
          <w:tcPr>
            <w:tcW w:w="2126" w:type="dxa"/>
            <w:vAlign w:val="center"/>
          </w:tcPr>
          <w:p w:rsidR="005E1BF0" w:rsidRDefault="00173A1B" w:rsidP="00CE25C2">
            <w:pPr>
              <w:jc w:val="right"/>
            </w:pPr>
            <w:r>
              <w:t>8</w:t>
            </w:r>
            <w:r w:rsidR="005E1BF0">
              <w:t>.000,000</w:t>
            </w:r>
          </w:p>
        </w:tc>
        <w:tc>
          <w:tcPr>
            <w:tcW w:w="2126" w:type="dxa"/>
            <w:vAlign w:val="center"/>
          </w:tcPr>
          <w:p w:rsidR="005E1BF0" w:rsidRDefault="005E1BF0" w:rsidP="00CE25C2">
            <w:pPr>
              <w:jc w:val="right"/>
            </w:pPr>
          </w:p>
        </w:tc>
      </w:tr>
      <w:tr w:rsidR="00C90377" w:rsidTr="0013298E">
        <w:trPr>
          <w:trHeight w:val="848"/>
        </w:trPr>
        <w:tc>
          <w:tcPr>
            <w:tcW w:w="5495" w:type="dxa"/>
            <w:vAlign w:val="center"/>
          </w:tcPr>
          <w:p w:rsidR="00C90377" w:rsidRPr="00261B30" w:rsidRDefault="00DC3537" w:rsidP="00EC4519">
            <w:pPr>
              <w:rPr>
                <w:b/>
                <w:bCs/>
                <w:sz w:val="24"/>
                <w:szCs w:val="24"/>
              </w:rPr>
            </w:pPr>
            <w:r w:rsidRPr="00261B30">
              <w:rPr>
                <w:rFonts w:asciiTheme="majorHAnsi" w:hAnsiTheme="majorHAnsi"/>
                <w:b/>
                <w:bCs/>
                <w:sz w:val="24"/>
                <w:szCs w:val="24"/>
              </w:rPr>
              <w:t>Résultat</w:t>
            </w:r>
            <w:r w:rsidR="00C90377" w:rsidRPr="00261B30">
              <w:rPr>
                <w:rFonts w:asciiTheme="majorHAnsi" w:hAnsiTheme="majorHAnsi"/>
                <w:b/>
                <w:bCs/>
                <w:sz w:val="24"/>
                <w:szCs w:val="24"/>
              </w:rPr>
              <w:t xml:space="preserve"> fiscal</w:t>
            </w:r>
            <w:r w:rsidR="00261B30" w:rsidRPr="00261B30">
              <w:rPr>
                <w:rFonts w:asciiTheme="majorHAnsi" w:hAnsiTheme="majorHAnsi"/>
                <w:b/>
                <w:bCs/>
                <w:sz w:val="24"/>
                <w:szCs w:val="24"/>
              </w:rPr>
              <w:t xml:space="preserve"> corrigé avant déduction des avantages fiscaux</w:t>
            </w:r>
            <w:r w:rsidR="00C90377" w:rsidRPr="00261B30">
              <w:rPr>
                <w:rFonts w:asciiTheme="majorHAnsi" w:hAnsiTheme="majorHAnsi"/>
                <w:b/>
                <w:bCs/>
                <w:sz w:val="24"/>
                <w:szCs w:val="24"/>
              </w:rPr>
              <w:t xml:space="preserve"> </w:t>
            </w:r>
          </w:p>
        </w:tc>
        <w:tc>
          <w:tcPr>
            <w:tcW w:w="2126" w:type="dxa"/>
            <w:vAlign w:val="center"/>
          </w:tcPr>
          <w:p w:rsidR="00C90377" w:rsidRPr="00FE6366" w:rsidRDefault="00940406" w:rsidP="007132F3">
            <w:pPr>
              <w:jc w:val="right"/>
              <w:rPr>
                <w:b/>
                <w:bCs/>
              </w:rPr>
            </w:pPr>
            <w:r>
              <w:rPr>
                <w:b/>
                <w:bCs/>
              </w:rPr>
              <w:t>2</w:t>
            </w:r>
            <w:r w:rsidR="007132F3">
              <w:rPr>
                <w:b/>
                <w:bCs/>
              </w:rPr>
              <w:t>8</w:t>
            </w:r>
            <w:r w:rsidR="00173A1B">
              <w:rPr>
                <w:b/>
                <w:bCs/>
              </w:rPr>
              <w:t>3</w:t>
            </w:r>
            <w:r w:rsidR="000C225B">
              <w:rPr>
                <w:b/>
                <w:bCs/>
              </w:rPr>
              <w:t>.</w:t>
            </w:r>
            <w:r w:rsidR="00173A1B">
              <w:rPr>
                <w:b/>
                <w:bCs/>
              </w:rPr>
              <w:t>62</w:t>
            </w:r>
            <w:r>
              <w:rPr>
                <w:b/>
                <w:bCs/>
              </w:rPr>
              <w:t>4</w:t>
            </w:r>
            <w:r w:rsidR="000C225B">
              <w:rPr>
                <w:b/>
                <w:bCs/>
              </w:rPr>
              <w:t>,5</w:t>
            </w:r>
            <w:r>
              <w:rPr>
                <w:b/>
                <w:bCs/>
              </w:rPr>
              <w:t>00</w:t>
            </w:r>
          </w:p>
        </w:tc>
        <w:tc>
          <w:tcPr>
            <w:tcW w:w="2126" w:type="dxa"/>
          </w:tcPr>
          <w:p w:rsidR="00C90377" w:rsidRDefault="00C90377" w:rsidP="00CE25C2"/>
        </w:tc>
      </w:tr>
    </w:tbl>
    <w:p w:rsidR="00DB4D13" w:rsidRDefault="00DB4D13" w:rsidP="00EC4519">
      <w:pPr>
        <w:tabs>
          <w:tab w:val="left" w:pos="284"/>
        </w:tabs>
        <w:spacing w:before="120" w:after="120" w:line="360" w:lineRule="auto"/>
        <w:jc w:val="both"/>
        <w:rPr>
          <w:rFonts w:asciiTheme="majorHAnsi" w:hAnsiTheme="majorHAnsi"/>
          <w:sz w:val="24"/>
          <w:szCs w:val="24"/>
        </w:rPr>
      </w:pPr>
      <w:r>
        <w:rPr>
          <w:rFonts w:asciiTheme="majorHAnsi" w:hAnsiTheme="majorHAnsi"/>
          <w:b/>
          <w:bCs/>
          <w:sz w:val="24"/>
          <w:szCs w:val="24"/>
        </w:rPr>
        <w:t>I-</w:t>
      </w:r>
      <w:r w:rsidRPr="00C90377">
        <w:rPr>
          <w:rFonts w:asciiTheme="majorHAnsi" w:hAnsiTheme="majorHAnsi"/>
          <w:b/>
          <w:bCs/>
          <w:sz w:val="24"/>
          <w:szCs w:val="24"/>
        </w:rPr>
        <w:t xml:space="preserve"> 2- </w:t>
      </w:r>
      <w:r w:rsidRPr="00055B54">
        <w:rPr>
          <w:rFonts w:asciiTheme="majorHAnsi" w:hAnsiTheme="majorHAnsi"/>
          <w:b/>
          <w:bCs/>
          <w:sz w:val="24"/>
          <w:szCs w:val="24"/>
        </w:rPr>
        <w:t xml:space="preserve">Détermination du résultat fiscal imposable de la société </w:t>
      </w:r>
      <w:r w:rsidRPr="00055B54">
        <w:rPr>
          <w:rFonts w:asciiTheme="majorHAnsi" w:hAnsiTheme="majorHAnsi"/>
          <w:b/>
          <w:bCs/>
          <w:i/>
          <w:iCs/>
          <w:sz w:val="24"/>
          <w:szCs w:val="24"/>
        </w:rPr>
        <w:t>« </w:t>
      </w:r>
      <w:r w:rsidR="00EC4519">
        <w:rPr>
          <w:rFonts w:asciiTheme="majorHAnsi" w:hAnsiTheme="majorHAnsi"/>
          <w:b/>
          <w:bCs/>
          <w:i/>
          <w:iCs/>
          <w:sz w:val="24"/>
          <w:szCs w:val="24"/>
        </w:rPr>
        <w:t>ABC</w:t>
      </w:r>
      <w:r w:rsidRPr="00055B54">
        <w:rPr>
          <w:rFonts w:asciiTheme="majorHAnsi" w:hAnsiTheme="majorHAnsi"/>
          <w:b/>
          <w:bCs/>
          <w:i/>
          <w:iCs/>
          <w:sz w:val="24"/>
          <w:szCs w:val="24"/>
        </w:rPr>
        <w:t> »</w:t>
      </w:r>
      <w:r w:rsidR="00012CC4" w:rsidRPr="00055B54">
        <w:rPr>
          <w:rFonts w:asciiTheme="majorHAnsi" w:hAnsiTheme="majorHAnsi"/>
          <w:b/>
          <w:bCs/>
          <w:sz w:val="24"/>
          <w:szCs w:val="24"/>
        </w:rPr>
        <w:t> :</w:t>
      </w:r>
      <w:r w:rsidRPr="00C90377">
        <w:rPr>
          <w:rFonts w:asciiTheme="majorHAnsi" w:hAnsiTheme="majorHAnsi"/>
          <w:sz w:val="24"/>
          <w:szCs w:val="24"/>
        </w:rPr>
        <w:t> </w:t>
      </w:r>
    </w:p>
    <w:p w:rsidR="00AE31B6" w:rsidRDefault="00DB4D13" w:rsidP="007132F3">
      <w:pPr>
        <w:spacing w:before="120" w:after="120" w:line="360" w:lineRule="auto"/>
        <w:jc w:val="both"/>
        <w:rPr>
          <w:rFonts w:asciiTheme="majorHAnsi" w:hAnsiTheme="majorHAnsi"/>
          <w:sz w:val="24"/>
          <w:szCs w:val="24"/>
        </w:rPr>
      </w:pPr>
      <w:r w:rsidRPr="00DB4D13">
        <w:rPr>
          <w:rFonts w:asciiTheme="majorHAnsi" w:hAnsiTheme="majorHAnsi"/>
          <w:sz w:val="24"/>
          <w:szCs w:val="24"/>
        </w:rPr>
        <w:t>L</w:t>
      </w:r>
      <w:r w:rsidR="007D2509">
        <w:rPr>
          <w:rFonts w:asciiTheme="majorHAnsi" w:hAnsiTheme="majorHAnsi"/>
          <w:sz w:val="24"/>
          <w:szCs w:val="24"/>
        </w:rPr>
        <w:t xml:space="preserve">e résultat comptable de l’exercice 2012 accuse une </w:t>
      </w:r>
      <w:r w:rsidR="007D2509" w:rsidRPr="007D2509">
        <w:rPr>
          <w:rFonts w:asciiTheme="majorHAnsi" w:hAnsiTheme="majorHAnsi"/>
          <w:b/>
          <w:bCs/>
          <w:i/>
          <w:iCs/>
          <w:sz w:val="24"/>
          <w:szCs w:val="24"/>
        </w:rPr>
        <w:t>perte</w:t>
      </w:r>
      <w:r w:rsidR="007D2509">
        <w:rPr>
          <w:rFonts w:asciiTheme="majorHAnsi" w:hAnsiTheme="majorHAnsi"/>
          <w:sz w:val="24"/>
          <w:szCs w:val="24"/>
        </w:rPr>
        <w:t xml:space="preserve"> de 20.000 TND, </w:t>
      </w:r>
      <w:r w:rsidR="00AE31B6">
        <w:rPr>
          <w:rFonts w:asciiTheme="majorHAnsi" w:hAnsiTheme="majorHAnsi"/>
          <w:sz w:val="24"/>
          <w:szCs w:val="24"/>
        </w:rPr>
        <w:t xml:space="preserve">et </w:t>
      </w:r>
      <w:r w:rsidR="007D2509">
        <w:rPr>
          <w:rFonts w:asciiTheme="majorHAnsi" w:hAnsiTheme="majorHAnsi"/>
          <w:sz w:val="24"/>
          <w:szCs w:val="24"/>
        </w:rPr>
        <w:t xml:space="preserve">malgré que la société </w:t>
      </w:r>
      <w:r w:rsidR="007D2509" w:rsidRPr="00553406">
        <w:rPr>
          <w:rFonts w:asciiTheme="majorHAnsi" w:hAnsiTheme="majorHAnsi"/>
          <w:b/>
          <w:bCs/>
          <w:i/>
          <w:iCs/>
          <w:sz w:val="24"/>
          <w:szCs w:val="24"/>
        </w:rPr>
        <w:t xml:space="preserve">« ABC » </w:t>
      </w:r>
      <w:r w:rsidR="007D2509">
        <w:rPr>
          <w:rFonts w:asciiTheme="majorHAnsi" w:hAnsiTheme="majorHAnsi"/>
          <w:sz w:val="24"/>
          <w:szCs w:val="24"/>
        </w:rPr>
        <w:t>a réalisé un résultat fiscal avant déduction des avantages fiscaux d’un montant de 2</w:t>
      </w:r>
      <w:r w:rsidR="007132F3">
        <w:rPr>
          <w:rFonts w:asciiTheme="majorHAnsi" w:hAnsiTheme="majorHAnsi"/>
          <w:sz w:val="24"/>
          <w:szCs w:val="24"/>
        </w:rPr>
        <w:t>8</w:t>
      </w:r>
      <w:r w:rsidR="00173A1B">
        <w:rPr>
          <w:rFonts w:asciiTheme="majorHAnsi" w:hAnsiTheme="majorHAnsi"/>
          <w:sz w:val="24"/>
          <w:szCs w:val="24"/>
        </w:rPr>
        <w:t>3</w:t>
      </w:r>
      <w:r w:rsidR="007D2509">
        <w:rPr>
          <w:rFonts w:asciiTheme="majorHAnsi" w:hAnsiTheme="majorHAnsi"/>
          <w:sz w:val="24"/>
          <w:szCs w:val="24"/>
        </w:rPr>
        <w:t>.574,500</w:t>
      </w:r>
      <w:r w:rsidR="00AE31B6">
        <w:rPr>
          <w:rFonts w:asciiTheme="majorHAnsi" w:hAnsiTheme="majorHAnsi"/>
          <w:sz w:val="24"/>
          <w:szCs w:val="24"/>
        </w:rPr>
        <w:t xml:space="preserve"> TND</w:t>
      </w:r>
      <w:r w:rsidR="007D2509">
        <w:rPr>
          <w:rFonts w:asciiTheme="majorHAnsi" w:hAnsiTheme="majorHAnsi"/>
          <w:sz w:val="24"/>
          <w:szCs w:val="24"/>
        </w:rPr>
        <w:t xml:space="preserve">, la dite société ne peut pas </w:t>
      </w:r>
      <w:r w:rsidR="00AE31B6">
        <w:rPr>
          <w:rFonts w:asciiTheme="majorHAnsi" w:hAnsiTheme="majorHAnsi"/>
          <w:sz w:val="24"/>
          <w:szCs w:val="24"/>
        </w:rPr>
        <w:t xml:space="preserve">déduire des avantages fiscaux qu’en cas ou elle réalise à la fois un résultat comptable </w:t>
      </w:r>
      <w:r w:rsidR="00AE31B6" w:rsidRPr="00173A1B">
        <w:rPr>
          <w:rFonts w:asciiTheme="majorHAnsi" w:hAnsiTheme="majorHAnsi"/>
          <w:b/>
          <w:bCs/>
          <w:i/>
          <w:iCs/>
          <w:sz w:val="24"/>
          <w:szCs w:val="24"/>
        </w:rPr>
        <w:t xml:space="preserve">et </w:t>
      </w:r>
      <w:r w:rsidR="00AE31B6">
        <w:rPr>
          <w:rFonts w:asciiTheme="majorHAnsi" w:hAnsiTheme="majorHAnsi"/>
          <w:sz w:val="24"/>
          <w:szCs w:val="24"/>
        </w:rPr>
        <w:t xml:space="preserve">fiscale </w:t>
      </w:r>
      <w:r w:rsidR="00AE31B6" w:rsidRPr="00173A1B">
        <w:rPr>
          <w:rFonts w:asciiTheme="majorHAnsi" w:hAnsiTheme="majorHAnsi"/>
          <w:b/>
          <w:bCs/>
          <w:i/>
          <w:iCs/>
          <w:sz w:val="24"/>
          <w:szCs w:val="24"/>
        </w:rPr>
        <w:t>bénéficiaires</w:t>
      </w:r>
      <w:r w:rsidR="00AE31B6">
        <w:rPr>
          <w:rFonts w:asciiTheme="majorHAnsi" w:hAnsiTheme="majorHAnsi"/>
          <w:sz w:val="24"/>
          <w:szCs w:val="24"/>
        </w:rPr>
        <w:t>.</w:t>
      </w:r>
    </w:p>
    <w:p w:rsidR="00AE31B6" w:rsidRDefault="00AE31B6" w:rsidP="00AE31B6">
      <w:pPr>
        <w:tabs>
          <w:tab w:val="left" w:pos="284"/>
        </w:tabs>
        <w:spacing w:before="120" w:after="120" w:line="360" w:lineRule="auto"/>
        <w:jc w:val="both"/>
        <w:rPr>
          <w:rFonts w:asciiTheme="majorHAnsi" w:hAnsiTheme="majorHAnsi"/>
          <w:b/>
          <w:bCs/>
          <w:sz w:val="24"/>
          <w:szCs w:val="24"/>
        </w:rPr>
      </w:pPr>
      <w:r>
        <w:rPr>
          <w:rFonts w:asciiTheme="majorHAnsi" w:hAnsiTheme="majorHAnsi"/>
          <w:b/>
          <w:bCs/>
          <w:sz w:val="24"/>
          <w:szCs w:val="24"/>
        </w:rPr>
        <w:t>I-</w:t>
      </w:r>
      <w:r w:rsidRPr="00C90377">
        <w:rPr>
          <w:rFonts w:asciiTheme="majorHAnsi" w:hAnsiTheme="majorHAnsi"/>
          <w:b/>
          <w:bCs/>
          <w:sz w:val="24"/>
          <w:szCs w:val="24"/>
        </w:rPr>
        <w:t xml:space="preserve"> </w:t>
      </w:r>
      <w:r>
        <w:rPr>
          <w:rFonts w:asciiTheme="majorHAnsi" w:hAnsiTheme="majorHAnsi"/>
          <w:b/>
          <w:bCs/>
          <w:sz w:val="24"/>
          <w:szCs w:val="24"/>
        </w:rPr>
        <w:t>3</w:t>
      </w:r>
      <w:r w:rsidRPr="00C90377">
        <w:rPr>
          <w:rFonts w:asciiTheme="majorHAnsi" w:hAnsiTheme="majorHAnsi"/>
          <w:b/>
          <w:bCs/>
          <w:sz w:val="24"/>
          <w:szCs w:val="24"/>
        </w:rPr>
        <w:t xml:space="preserve">- </w:t>
      </w:r>
      <w:r w:rsidRPr="00055B54">
        <w:rPr>
          <w:rFonts w:asciiTheme="majorHAnsi" w:hAnsiTheme="majorHAnsi"/>
          <w:b/>
          <w:bCs/>
          <w:sz w:val="24"/>
          <w:szCs w:val="24"/>
        </w:rPr>
        <w:t xml:space="preserve">Détermination du résultat fiscal imposable de la société </w:t>
      </w:r>
      <w:r w:rsidRPr="00055B54">
        <w:rPr>
          <w:rFonts w:asciiTheme="majorHAnsi" w:hAnsiTheme="majorHAnsi"/>
          <w:b/>
          <w:bCs/>
          <w:i/>
          <w:iCs/>
          <w:sz w:val="24"/>
          <w:szCs w:val="24"/>
        </w:rPr>
        <w:t>« </w:t>
      </w:r>
      <w:r>
        <w:rPr>
          <w:rFonts w:asciiTheme="majorHAnsi" w:hAnsiTheme="majorHAnsi"/>
          <w:b/>
          <w:bCs/>
          <w:i/>
          <w:iCs/>
          <w:sz w:val="24"/>
          <w:szCs w:val="24"/>
        </w:rPr>
        <w:t>ABC</w:t>
      </w:r>
      <w:r w:rsidRPr="00055B54">
        <w:rPr>
          <w:rFonts w:asciiTheme="majorHAnsi" w:hAnsiTheme="majorHAnsi"/>
          <w:b/>
          <w:bCs/>
          <w:i/>
          <w:iCs/>
          <w:sz w:val="24"/>
          <w:szCs w:val="24"/>
        </w:rPr>
        <w:t> »</w:t>
      </w:r>
      <w:r>
        <w:rPr>
          <w:rFonts w:asciiTheme="majorHAnsi" w:hAnsiTheme="majorHAnsi"/>
          <w:b/>
          <w:bCs/>
          <w:i/>
          <w:iCs/>
          <w:sz w:val="24"/>
          <w:szCs w:val="24"/>
        </w:rPr>
        <w:t xml:space="preserve">, </w:t>
      </w:r>
      <w:r w:rsidRPr="00AE31B6">
        <w:rPr>
          <w:rFonts w:asciiTheme="majorHAnsi" w:hAnsiTheme="majorHAnsi"/>
          <w:b/>
          <w:bCs/>
          <w:sz w:val="24"/>
          <w:szCs w:val="24"/>
        </w:rPr>
        <w:t>dans le cas ou le bénéfice comptable de l’année 2012 sera de 50.000 TND</w:t>
      </w:r>
      <w:r w:rsidRPr="00055B54">
        <w:rPr>
          <w:rFonts w:asciiTheme="majorHAnsi" w:hAnsiTheme="majorHAnsi"/>
          <w:b/>
          <w:bCs/>
          <w:sz w:val="24"/>
          <w:szCs w:val="24"/>
        </w:rPr>
        <w:t> :</w:t>
      </w:r>
      <w:r w:rsidRPr="00AE31B6">
        <w:rPr>
          <w:rFonts w:asciiTheme="majorHAnsi" w:hAnsiTheme="majorHAnsi"/>
          <w:b/>
          <w:bCs/>
          <w:sz w:val="24"/>
          <w:szCs w:val="24"/>
        </w:rPr>
        <w:t> </w:t>
      </w:r>
    </w:p>
    <w:p w:rsidR="006F0EC3" w:rsidRDefault="006F0EC3" w:rsidP="006F0EC3">
      <w:pPr>
        <w:spacing w:before="120" w:after="120" w:line="360" w:lineRule="auto"/>
        <w:jc w:val="both"/>
        <w:rPr>
          <w:rFonts w:asciiTheme="majorHAnsi" w:hAnsiTheme="majorHAnsi"/>
          <w:sz w:val="24"/>
          <w:szCs w:val="24"/>
        </w:rPr>
      </w:pPr>
      <w:r w:rsidRPr="00DB4D13">
        <w:rPr>
          <w:rFonts w:asciiTheme="majorHAnsi" w:hAnsiTheme="majorHAnsi"/>
          <w:sz w:val="24"/>
          <w:szCs w:val="24"/>
        </w:rPr>
        <w:t>L</w:t>
      </w:r>
      <w:r>
        <w:rPr>
          <w:rFonts w:asciiTheme="majorHAnsi" w:hAnsiTheme="majorHAnsi"/>
          <w:sz w:val="24"/>
          <w:szCs w:val="24"/>
        </w:rPr>
        <w:t xml:space="preserve">e résultat comptable de l’exercice 2012 est un </w:t>
      </w:r>
      <w:r w:rsidRPr="00384A49">
        <w:rPr>
          <w:rFonts w:asciiTheme="majorHAnsi" w:hAnsiTheme="majorHAnsi"/>
          <w:b/>
          <w:bCs/>
          <w:i/>
          <w:iCs/>
          <w:sz w:val="24"/>
          <w:szCs w:val="24"/>
        </w:rPr>
        <w:t>bénéfice</w:t>
      </w:r>
      <w:r>
        <w:rPr>
          <w:rFonts w:asciiTheme="majorHAnsi" w:hAnsiTheme="majorHAnsi"/>
          <w:sz w:val="24"/>
          <w:szCs w:val="24"/>
        </w:rPr>
        <w:t xml:space="preserve"> de 50.000 TND, dans ce cas  la société </w:t>
      </w:r>
      <w:r w:rsidRPr="00256C1F">
        <w:rPr>
          <w:rFonts w:asciiTheme="majorHAnsi" w:hAnsiTheme="majorHAnsi"/>
          <w:b/>
          <w:bCs/>
          <w:i/>
          <w:iCs/>
          <w:sz w:val="24"/>
          <w:szCs w:val="24"/>
        </w:rPr>
        <w:t>« ABC »</w:t>
      </w:r>
      <w:r>
        <w:rPr>
          <w:rFonts w:asciiTheme="majorHAnsi" w:hAnsiTheme="majorHAnsi"/>
          <w:sz w:val="24"/>
          <w:szCs w:val="24"/>
        </w:rPr>
        <w:t xml:space="preserve"> réalise un résultat fiscal avant déduction des avantages fiscaux d’un montant de 283.574,500 TND, qui permet de déduire des avantages fiscaux.</w:t>
      </w:r>
    </w:p>
    <w:p w:rsidR="009571A0" w:rsidRDefault="009571A0" w:rsidP="006F0EC3">
      <w:pPr>
        <w:spacing w:before="120" w:after="120" w:line="360" w:lineRule="auto"/>
        <w:jc w:val="both"/>
        <w:rPr>
          <w:rFonts w:asciiTheme="majorHAnsi" w:hAnsiTheme="majorHAnsi"/>
          <w:sz w:val="24"/>
          <w:szCs w:val="24"/>
        </w:rPr>
      </w:pPr>
    </w:p>
    <w:p w:rsidR="009571A0" w:rsidRDefault="009571A0" w:rsidP="006F0EC3">
      <w:pPr>
        <w:spacing w:before="120" w:after="120" w:line="360" w:lineRule="auto"/>
        <w:jc w:val="both"/>
        <w:rPr>
          <w:rFonts w:asciiTheme="majorHAnsi" w:hAnsiTheme="majorHAnsi"/>
          <w:sz w:val="24"/>
          <w:szCs w:val="24"/>
        </w:rPr>
      </w:pPr>
    </w:p>
    <w:p w:rsidR="009571A0" w:rsidRDefault="009571A0" w:rsidP="006F0EC3">
      <w:pPr>
        <w:spacing w:before="120" w:after="120" w:line="360" w:lineRule="auto"/>
        <w:jc w:val="both"/>
        <w:rPr>
          <w:rFonts w:asciiTheme="majorHAnsi" w:hAnsiTheme="majorHAnsi"/>
          <w:sz w:val="24"/>
          <w:szCs w:val="24"/>
        </w:rPr>
      </w:pPr>
    </w:p>
    <w:p w:rsidR="009571A0" w:rsidRDefault="009571A0" w:rsidP="006F0EC3">
      <w:pPr>
        <w:spacing w:before="120" w:after="120" w:line="360" w:lineRule="auto"/>
        <w:jc w:val="both"/>
        <w:rPr>
          <w:rFonts w:asciiTheme="majorHAnsi" w:hAnsiTheme="majorHAnsi"/>
          <w:sz w:val="24"/>
          <w:szCs w:val="24"/>
        </w:rPr>
      </w:pPr>
    </w:p>
    <w:p w:rsidR="00F6249F" w:rsidRDefault="00F6249F" w:rsidP="00F6249F">
      <w:pPr>
        <w:pStyle w:val="Paragraphedeliste"/>
        <w:numPr>
          <w:ilvl w:val="0"/>
          <w:numId w:val="44"/>
        </w:numPr>
        <w:spacing w:before="120" w:after="120" w:line="360" w:lineRule="auto"/>
        <w:jc w:val="both"/>
        <w:rPr>
          <w:rFonts w:asciiTheme="majorHAnsi" w:hAnsiTheme="majorHAnsi"/>
          <w:sz w:val="24"/>
          <w:szCs w:val="24"/>
        </w:rPr>
      </w:pPr>
      <w:r w:rsidRPr="00F6249F">
        <w:rPr>
          <w:rFonts w:asciiTheme="majorHAnsi" w:hAnsiTheme="majorHAnsi"/>
          <w:sz w:val="24"/>
          <w:szCs w:val="24"/>
        </w:rPr>
        <w:lastRenderedPageBreak/>
        <w:t>Le résultat fiscal</w:t>
      </w:r>
      <w:r>
        <w:rPr>
          <w:rFonts w:asciiTheme="majorHAnsi" w:hAnsiTheme="majorHAnsi"/>
          <w:sz w:val="24"/>
          <w:szCs w:val="24"/>
        </w:rPr>
        <w:t xml:space="preserve"> imposable</w:t>
      </w:r>
      <w:r w:rsidRPr="00F6249F">
        <w:rPr>
          <w:rFonts w:asciiTheme="majorHAnsi" w:hAnsiTheme="majorHAnsi"/>
          <w:sz w:val="24"/>
          <w:szCs w:val="24"/>
        </w:rPr>
        <w:t xml:space="preserve"> de la société </w:t>
      </w:r>
      <w:r w:rsidRPr="00E679E5">
        <w:rPr>
          <w:rFonts w:asciiTheme="majorHAnsi" w:hAnsiTheme="majorHAnsi"/>
          <w:b/>
          <w:bCs/>
          <w:i/>
          <w:iCs/>
          <w:sz w:val="24"/>
          <w:szCs w:val="24"/>
        </w:rPr>
        <w:t>« ABC »</w:t>
      </w:r>
      <w:r w:rsidRPr="00F6249F">
        <w:rPr>
          <w:rFonts w:asciiTheme="majorHAnsi" w:hAnsiTheme="majorHAnsi"/>
          <w:sz w:val="24"/>
          <w:szCs w:val="24"/>
        </w:rPr>
        <w:t xml:space="preserve"> pour l’exercice 2012 sera déterminé comme suit :</w:t>
      </w:r>
    </w:p>
    <w:tbl>
      <w:tblPr>
        <w:tblStyle w:val="Grilledutableau"/>
        <w:tblW w:w="7883" w:type="dxa"/>
        <w:tblInd w:w="730" w:type="dxa"/>
        <w:tblLook w:val="04A0"/>
      </w:tblPr>
      <w:tblGrid>
        <w:gridCol w:w="5757"/>
        <w:gridCol w:w="2126"/>
      </w:tblGrid>
      <w:tr w:rsidR="00055B54" w:rsidTr="00055B54">
        <w:trPr>
          <w:trHeight w:val="408"/>
        </w:trPr>
        <w:tc>
          <w:tcPr>
            <w:tcW w:w="5757" w:type="dxa"/>
            <w:vAlign w:val="center"/>
          </w:tcPr>
          <w:p w:rsidR="00055B54" w:rsidRPr="00AC3F8A" w:rsidRDefault="00261B30" w:rsidP="00302645">
            <w:pPr>
              <w:rPr>
                <w:rFonts w:asciiTheme="majorHAnsi" w:hAnsiTheme="majorHAnsi"/>
                <w:b/>
                <w:bCs/>
                <w:sz w:val="24"/>
                <w:szCs w:val="24"/>
              </w:rPr>
            </w:pPr>
            <w:r w:rsidRPr="00261B30">
              <w:rPr>
                <w:rFonts w:asciiTheme="majorHAnsi" w:hAnsiTheme="majorHAnsi"/>
                <w:b/>
                <w:bCs/>
                <w:sz w:val="24"/>
                <w:szCs w:val="24"/>
              </w:rPr>
              <w:t>Résultat fiscal corrigé avant déduction des avantages fiscaux</w:t>
            </w:r>
          </w:p>
        </w:tc>
        <w:tc>
          <w:tcPr>
            <w:tcW w:w="2126" w:type="dxa"/>
            <w:vAlign w:val="center"/>
          </w:tcPr>
          <w:p w:rsidR="00055B54" w:rsidRPr="00C45958" w:rsidRDefault="00F6249F" w:rsidP="007132F3">
            <w:pPr>
              <w:jc w:val="right"/>
            </w:pPr>
            <w:r>
              <w:rPr>
                <w:b/>
                <w:bCs/>
              </w:rPr>
              <w:t>2</w:t>
            </w:r>
            <w:r w:rsidR="007132F3">
              <w:rPr>
                <w:b/>
                <w:bCs/>
              </w:rPr>
              <w:t>8</w:t>
            </w:r>
            <w:r w:rsidR="00173A1B">
              <w:rPr>
                <w:b/>
                <w:bCs/>
              </w:rPr>
              <w:t>3</w:t>
            </w:r>
            <w:r>
              <w:rPr>
                <w:b/>
                <w:bCs/>
              </w:rPr>
              <w:t>.</w:t>
            </w:r>
            <w:r w:rsidR="00173A1B">
              <w:rPr>
                <w:b/>
                <w:bCs/>
              </w:rPr>
              <w:t>62</w:t>
            </w:r>
            <w:r>
              <w:rPr>
                <w:b/>
                <w:bCs/>
              </w:rPr>
              <w:t>4,500</w:t>
            </w:r>
          </w:p>
        </w:tc>
      </w:tr>
      <w:tr w:rsidR="00D96E96" w:rsidRPr="005F2FF7" w:rsidTr="00055B54">
        <w:trPr>
          <w:trHeight w:val="408"/>
        </w:trPr>
        <w:tc>
          <w:tcPr>
            <w:tcW w:w="5757" w:type="dxa"/>
            <w:vAlign w:val="center"/>
          </w:tcPr>
          <w:p w:rsidR="00D96E96" w:rsidRDefault="00D96E96" w:rsidP="00D96E96">
            <w:pPr>
              <w:jc w:val="both"/>
              <w:rPr>
                <w:rFonts w:asciiTheme="majorHAnsi" w:hAnsiTheme="majorHAnsi"/>
                <w:sz w:val="24"/>
                <w:szCs w:val="24"/>
              </w:rPr>
            </w:pPr>
            <w:r w:rsidRPr="00AC3F8A">
              <w:rPr>
                <w:rFonts w:asciiTheme="majorHAnsi" w:hAnsiTheme="majorHAnsi"/>
                <w:sz w:val="24"/>
                <w:szCs w:val="24"/>
              </w:rPr>
              <w:t>Déduction de</w:t>
            </w:r>
            <w:r>
              <w:rPr>
                <w:rFonts w:asciiTheme="majorHAnsi" w:hAnsiTheme="majorHAnsi"/>
                <w:sz w:val="24"/>
                <w:szCs w:val="24"/>
              </w:rPr>
              <w:t>s</w:t>
            </w:r>
            <w:r w:rsidRPr="00AC3F8A">
              <w:rPr>
                <w:rFonts w:asciiTheme="majorHAnsi" w:hAnsiTheme="majorHAnsi"/>
                <w:sz w:val="24"/>
                <w:szCs w:val="24"/>
              </w:rPr>
              <w:t xml:space="preserve"> bénéfice</w:t>
            </w:r>
            <w:r>
              <w:rPr>
                <w:rFonts w:asciiTheme="majorHAnsi" w:hAnsiTheme="majorHAnsi"/>
                <w:sz w:val="24"/>
                <w:szCs w:val="24"/>
              </w:rPr>
              <w:t xml:space="preserve">s réinvestis dans le </w:t>
            </w:r>
            <w:r w:rsidRPr="00DB4D13">
              <w:rPr>
                <w:rFonts w:asciiTheme="majorHAnsi" w:hAnsiTheme="majorHAnsi"/>
                <w:sz w:val="24"/>
                <w:szCs w:val="24"/>
              </w:rPr>
              <w:t>capital initial</w:t>
            </w:r>
            <w:r>
              <w:rPr>
                <w:rFonts w:asciiTheme="majorHAnsi" w:hAnsiTheme="majorHAnsi"/>
                <w:sz w:val="24"/>
                <w:szCs w:val="24"/>
              </w:rPr>
              <w:t xml:space="preserve"> d’une société </w:t>
            </w:r>
            <w:r w:rsidRPr="00C86A4C">
              <w:rPr>
                <w:rFonts w:asciiTheme="majorHAnsi" w:hAnsiTheme="majorHAnsi"/>
                <w:sz w:val="24"/>
                <w:szCs w:val="24"/>
              </w:rPr>
              <w:t>régie par les</w:t>
            </w:r>
            <w:r>
              <w:rPr>
                <w:rFonts w:asciiTheme="majorHAnsi" w:hAnsiTheme="majorHAnsi"/>
                <w:sz w:val="24"/>
                <w:szCs w:val="24"/>
              </w:rPr>
              <w:t xml:space="preserve"> </w:t>
            </w:r>
            <w:r w:rsidRPr="00C86A4C">
              <w:rPr>
                <w:rFonts w:asciiTheme="majorHAnsi" w:hAnsiTheme="majorHAnsi"/>
                <w:sz w:val="24"/>
                <w:szCs w:val="24"/>
              </w:rPr>
              <w:t>avantages communs du CII</w:t>
            </w:r>
            <w:r>
              <w:rPr>
                <w:rFonts w:asciiTheme="majorHAnsi" w:hAnsiTheme="majorHAnsi"/>
                <w:sz w:val="24"/>
                <w:szCs w:val="24"/>
              </w:rPr>
              <w:t xml:space="preserve"> : </w:t>
            </w:r>
            <w:r w:rsidRPr="009631F4">
              <w:rPr>
                <w:rFonts w:asciiTheme="majorHAnsi" w:hAnsiTheme="majorHAnsi"/>
                <w:b/>
                <w:bCs/>
                <w:i/>
                <w:iCs/>
                <w:sz w:val="24"/>
                <w:szCs w:val="24"/>
              </w:rPr>
              <w:t>35%</w:t>
            </w:r>
            <w:r>
              <w:rPr>
                <w:rFonts w:asciiTheme="majorHAnsi" w:hAnsiTheme="majorHAnsi"/>
                <w:sz w:val="24"/>
                <w:szCs w:val="24"/>
              </w:rPr>
              <w:t xml:space="preserve"> </w:t>
            </w:r>
            <w:r w:rsidRPr="00E679E5">
              <w:rPr>
                <w:rFonts w:asciiTheme="majorHAnsi" w:hAnsiTheme="majorHAnsi"/>
                <w:b/>
                <w:bCs/>
                <w:i/>
                <w:iCs/>
                <w:sz w:val="24"/>
                <w:szCs w:val="24"/>
              </w:rPr>
              <w:t>sous réserve</w:t>
            </w:r>
            <w:r>
              <w:rPr>
                <w:rFonts w:asciiTheme="majorHAnsi" w:hAnsiTheme="majorHAnsi"/>
                <w:sz w:val="24"/>
                <w:szCs w:val="24"/>
              </w:rPr>
              <w:t xml:space="preserve"> la min D’impôt</w:t>
            </w:r>
            <w:r w:rsidR="00E679E5">
              <w:rPr>
                <w:rFonts w:asciiTheme="majorHAnsi" w:hAnsiTheme="majorHAnsi"/>
                <w:sz w:val="24"/>
                <w:szCs w:val="24"/>
              </w:rPr>
              <w:t xml:space="preserve"> prévu par l’article 12 de la loi n°89-114 du 30 novembre 1989, portant promulgation du code d’IRPP et d’IS.</w:t>
            </w:r>
          </w:p>
          <w:p w:rsidR="00D96E96" w:rsidRDefault="00D96E96" w:rsidP="00F6249F">
            <w:pPr>
              <w:jc w:val="both"/>
              <w:rPr>
                <w:rFonts w:asciiTheme="majorHAnsi" w:hAnsiTheme="majorHAnsi"/>
                <w:sz w:val="24"/>
                <w:szCs w:val="24"/>
              </w:rPr>
            </w:pPr>
            <w:r>
              <w:rPr>
                <w:rFonts w:asciiTheme="majorHAnsi" w:hAnsiTheme="majorHAnsi"/>
                <w:sz w:val="24"/>
                <w:szCs w:val="24"/>
              </w:rPr>
              <w:t xml:space="preserve">Montant investi = </w:t>
            </w:r>
            <w:r w:rsidR="00F6249F">
              <w:rPr>
                <w:rFonts w:asciiTheme="majorHAnsi" w:hAnsiTheme="majorHAnsi"/>
                <w:sz w:val="24"/>
                <w:szCs w:val="24"/>
              </w:rPr>
              <w:t>30</w:t>
            </w:r>
            <w:r>
              <w:rPr>
                <w:rFonts w:asciiTheme="majorHAnsi" w:hAnsiTheme="majorHAnsi"/>
                <w:sz w:val="24"/>
                <w:szCs w:val="24"/>
              </w:rPr>
              <w:t>.000 TND</w:t>
            </w:r>
          </w:p>
          <w:p w:rsidR="00D96E96" w:rsidRDefault="00D96E96" w:rsidP="007132F3">
            <w:pPr>
              <w:jc w:val="both"/>
              <w:rPr>
                <w:rFonts w:asciiTheme="majorHAnsi" w:hAnsiTheme="majorHAnsi"/>
                <w:sz w:val="24"/>
                <w:szCs w:val="24"/>
              </w:rPr>
            </w:pPr>
            <w:r>
              <w:rPr>
                <w:rFonts w:asciiTheme="majorHAnsi" w:hAnsiTheme="majorHAnsi"/>
                <w:sz w:val="24"/>
                <w:szCs w:val="24"/>
              </w:rPr>
              <w:t xml:space="preserve">Plafond = </w:t>
            </w:r>
            <w:r w:rsidR="00F6249F">
              <w:rPr>
                <w:rFonts w:asciiTheme="majorHAnsi" w:hAnsiTheme="majorHAnsi"/>
                <w:sz w:val="24"/>
                <w:szCs w:val="24"/>
              </w:rPr>
              <w:t>2</w:t>
            </w:r>
            <w:r w:rsidR="007132F3">
              <w:rPr>
                <w:rFonts w:asciiTheme="majorHAnsi" w:hAnsiTheme="majorHAnsi"/>
                <w:sz w:val="24"/>
                <w:szCs w:val="24"/>
              </w:rPr>
              <w:t>8</w:t>
            </w:r>
            <w:r w:rsidR="00173A1B">
              <w:rPr>
                <w:rFonts w:asciiTheme="majorHAnsi" w:hAnsiTheme="majorHAnsi"/>
                <w:sz w:val="24"/>
                <w:szCs w:val="24"/>
              </w:rPr>
              <w:t>3</w:t>
            </w:r>
            <w:r>
              <w:rPr>
                <w:rFonts w:asciiTheme="majorHAnsi" w:hAnsiTheme="majorHAnsi"/>
                <w:sz w:val="24"/>
                <w:szCs w:val="24"/>
              </w:rPr>
              <w:t>.</w:t>
            </w:r>
            <w:r w:rsidR="00173A1B">
              <w:rPr>
                <w:rFonts w:asciiTheme="majorHAnsi" w:hAnsiTheme="majorHAnsi"/>
                <w:sz w:val="24"/>
                <w:szCs w:val="24"/>
              </w:rPr>
              <w:t>62</w:t>
            </w:r>
            <w:r w:rsidR="00F6249F">
              <w:rPr>
                <w:rFonts w:asciiTheme="majorHAnsi" w:hAnsiTheme="majorHAnsi"/>
                <w:sz w:val="24"/>
                <w:szCs w:val="24"/>
              </w:rPr>
              <w:t>4</w:t>
            </w:r>
            <w:r>
              <w:rPr>
                <w:rFonts w:asciiTheme="majorHAnsi" w:hAnsiTheme="majorHAnsi"/>
                <w:sz w:val="24"/>
                <w:szCs w:val="24"/>
              </w:rPr>
              <w:t>,5</w:t>
            </w:r>
            <w:r w:rsidR="00F6249F">
              <w:rPr>
                <w:rFonts w:asciiTheme="majorHAnsi" w:hAnsiTheme="majorHAnsi"/>
                <w:sz w:val="24"/>
                <w:szCs w:val="24"/>
              </w:rPr>
              <w:t>00</w:t>
            </w:r>
            <w:r>
              <w:rPr>
                <w:rFonts w:asciiTheme="majorHAnsi" w:hAnsiTheme="majorHAnsi"/>
                <w:sz w:val="24"/>
                <w:szCs w:val="24"/>
              </w:rPr>
              <w:t xml:space="preserve"> </w:t>
            </w:r>
            <w:r w:rsidRPr="00922D2E">
              <w:rPr>
                <w:rFonts w:asciiTheme="majorHAnsi" w:hAnsiTheme="majorHAnsi"/>
                <w:sz w:val="24"/>
                <w:szCs w:val="24"/>
              </w:rPr>
              <w:t>x</w:t>
            </w:r>
            <w:r>
              <w:rPr>
                <w:rFonts w:asciiTheme="majorHAnsi" w:hAnsiTheme="majorHAnsi"/>
                <w:sz w:val="24"/>
                <w:szCs w:val="24"/>
              </w:rPr>
              <w:t xml:space="preserve"> </w:t>
            </w:r>
            <w:r w:rsidRPr="00922D2E">
              <w:rPr>
                <w:rFonts w:asciiTheme="majorHAnsi" w:hAnsiTheme="majorHAnsi"/>
                <w:sz w:val="24"/>
                <w:szCs w:val="24"/>
              </w:rPr>
              <w:t>3</w:t>
            </w:r>
            <w:r>
              <w:rPr>
                <w:rFonts w:asciiTheme="majorHAnsi" w:hAnsiTheme="majorHAnsi"/>
                <w:sz w:val="24"/>
                <w:szCs w:val="24"/>
              </w:rPr>
              <w:t>5</w:t>
            </w:r>
            <w:r w:rsidRPr="00922D2E">
              <w:rPr>
                <w:rFonts w:asciiTheme="majorHAnsi" w:hAnsiTheme="majorHAnsi"/>
                <w:sz w:val="24"/>
                <w:szCs w:val="24"/>
              </w:rPr>
              <w:t>%</w:t>
            </w:r>
            <w:r>
              <w:rPr>
                <w:rFonts w:asciiTheme="majorHAnsi" w:hAnsiTheme="majorHAnsi"/>
                <w:sz w:val="24"/>
                <w:szCs w:val="24"/>
              </w:rPr>
              <w:t xml:space="preserve"> = </w:t>
            </w:r>
            <w:r w:rsidR="007132F3">
              <w:rPr>
                <w:rFonts w:asciiTheme="majorHAnsi" w:hAnsiTheme="majorHAnsi"/>
                <w:sz w:val="24"/>
                <w:szCs w:val="24"/>
              </w:rPr>
              <w:t>99</w:t>
            </w:r>
            <w:r>
              <w:rPr>
                <w:rFonts w:asciiTheme="majorHAnsi" w:hAnsiTheme="majorHAnsi"/>
                <w:sz w:val="24"/>
                <w:szCs w:val="24"/>
              </w:rPr>
              <w:t>.</w:t>
            </w:r>
            <w:r w:rsidR="007132F3">
              <w:rPr>
                <w:rFonts w:asciiTheme="majorHAnsi" w:hAnsiTheme="majorHAnsi"/>
                <w:sz w:val="24"/>
                <w:szCs w:val="24"/>
              </w:rPr>
              <w:t>2</w:t>
            </w:r>
            <w:r w:rsidR="00173A1B">
              <w:rPr>
                <w:rFonts w:asciiTheme="majorHAnsi" w:hAnsiTheme="majorHAnsi"/>
                <w:sz w:val="24"/>
                <w:szCs w:val="24"/>
              </w:rPr>
              <w:t>68</w:t>
            </w:r>
            <w:r>
              <w:rPr>
                <w:rFonts w:asciiTheme="majorHAnsi" w:hAnsiTheme="majorHAnsi"/>
                <w:sz w:val="24"/>
                <w:szCs w:val="24"/>
              </w:rPr>
              <w:t>,</w:t>
            </w:r>
            <w:r w:rsidR="00173A1B">
              <w:rPr>
                <w:rFonts w:asciiTheme="majorHAnsi" w:hAnsiTheme="majorHAnsi"/>
                <w:sz w:val="24"/>
                <w:szCs w:val="24"/>
              </w:rPr>
              <w:t>5</w:t>
            </w:r>
            <w:r w:rsidR="00F6249F">
              <w:rPr>
                <w:rFonts w:asciiTheme="majorHAnsi" w:hAnsiTheme="majorHAnsi"/>
                <w:sz w:val="24"/>
                <w:szCs w:val="24"/>
              </w:rPr>
              <w:t>75</w:t>
            </w:r>
            <w:r w:rsidR="00A26FBC">
              <w:rPr>
                <w:rFonts w:asciiTheme="majorHAnsi" w:hAnsiTheme="majorHAnsi"/>
                <w:sz w:val="24"/>
                <w:szCs w:val="24"/>
              </w:rPr>
              <w:t xml:space="preserve"> TND</w:t>
            </w:r>
          </w:p>
          <w:p w:rsidR="00F6249F" w:rsidRDefault="00F6249F" w:rsidP="00F6249F">
            <w:pPr>
              <w:jc w:val="both"/>
              <w:rPr>
                <w:rFonts w:asciiTheme="majorHAnsi" w:hAnsiTheme="majorHAnsi"/>
                <w:sz w:val="24"/>
                <w:szCs w:val="24"/>
              </w:rPr>
            </w:pPr>
            <w:r>
              <w:rPr>
                <w:rFonts w:asciiTheme="majorHAnsi" w:hAnsiTheme="majorHAnsi"/>
                <w:sz w:val="24"/>
                <w:szCs w:val="24"/>
              </w:rPr>
              <w:t>Montant déductible = 12.500</w:t>
            </w:r>
            <w:r w:rsidR="00A26FBC">
              <w:rPr>
                <w:rFonts w:asciiTheme="majorHAnsi" w:hAnsiTheme="majorHAnsi"/>
                <w:sz w:val="24"/>
                <w:szCs w:val="24"/>
              </w:rPr>
              <w:t xml:space="preserve"> TND</w:t>
            </w:r>
            <w:r>
              <w:rPr>
                <w:rFonts w:asciiTheme="majorHAnsi" w:hAnsiTheme="majorHAnsi"/>
                <w:sz w:val="24"/>
                <w:szCs w:val="24"/>
              </w:rPr>
              <w:t xml:space="preserve">, </w:t>
            </w:r>
            <w:r w:rsidRPr="00F6249F">
              <w:rPr>
                <w:rFonts w:asciiTheme="majorHAnsi" w:hAnsiTheme="majorHAnsi"/>
                <w:sz w:val="24"/>
                <w:szCs w:val="24"/>
              </w:rPr>
              <w:t>la prime d'émission n'ouvre pas droit à l'avantage</w:t>
            </w:r>
          </w:p>
          <w:p w:rsidR="0080588F" w:rsidRPr="00AC3F8A" w:rsidRDefault="00D96E96" w:rsidP="009571A0">
            <w:pPr>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w:t>
            </w:r>
            <w:r w:rsidR="00E679E5">
              <w:rPr>
                <w:rFonts w:asciiTheme="majorHAnsi" w:hAnsiTheme="majorHAnsi"/>
                <w:sz w:val="24"/>
                <w:szCs w:val="24"/>
              </w:rPr>
              <w:t>s</w:t>
            </w:r>
            <w:r>
              <w:rPr>
                <w:rFonts w:asciiTheme="majorHAnsi" w:hAnsiTheme="majorHAnsi"/>
                <w:sz w:val="24"/>
                <w:szCs w:val="24"/>
              </w:rPr>
              <w:t xml:space="preserve"> 7</w:t>
            </w:r>
            <w:r w:rsidR="00E679E5">
              <w:rPr>
                <w:rFonts w:asciiTheme="majorHAnsi" w:hAnsiTheme="majorHAnsi"/>
                <w:sz w:val="24"/>
                <w:szCs w:val="24"/>
              </w:rPr>
              <w:t>,8 et 9</w:t>
            </w:r>
            <w:r>
              <w:rPr>
                <w:rFonts w:asciiTheme="majorHAnsi" w:hAnsiTheme="majorHAnsi"/>
                <w:sz w:val="24"/>
                <w:szCs w:val="24"/>
              </w:rPr>
              <w:t xml:space="preserve"> du code CII.</w:t>
            </w:r>
          </w:p>
        </w:tc>
        <w:tc>
          <w:tcPr>
            <w:tcW w:w="2126" w:type="dxa"/>
            <w:vAlign w:val="center"/>
          </w:tcPr>
          <w:p w:rsidR="00D96E96" w:rsidRPr="00CE4A93" w:rsidRDefault="00285AD6" w:rsidP="00F6249F">
            <w:pPr>
              <w:jc w:val="right"/>
            </w:pPr>
            <w:r>
              <w:t>-</w:t>
            </w:r>
            <w:r w:rsidR="00F6249F" w:rsidRPr="00CE4A93">
              <w:t>12</w:t>
            </w:r>
            <w:r w:rsidR="00D96E96" w:rsidRPr="00CE4A93">
              <w:t>.</w:t>
            </w:r>
            <w:r w:rsidR="00F6249F" w:rsidRPr="00CE4A93">
              <w:t>5</w:t>
            </w:r>
            <w:r w:rsidR="00D96E96" w:rsidRPr="00CE4A93">
              <w:t>00,000</w:t>
            </w:r>
          </w:p>
        </w:tc>
      </w:tr>
      <w:tr w:rsidR="00D96E96" w:rsidRPr="005F2FF7" w:rsidTr="00055B54">
        <w:trPr>
          <w:trHeight w:val="408"/>
        </w:trPr>
        <w:tc>
          <w:tcPr>
            <w:tcW w:w="5757" w:type="dxa"/>
            <w:vAlign w:val="center"/>
          </w:tcPr>
          <w:p w:rsidR="00D96E96" w:rsidRPr="005F2FF7" w:rsidRDefault="00D96E96" w:rsidP="00D96E96">
            <w:pPr>
              <w:jc w:val="both"/>
              <w:rPr>
                <w:rFonts w:asciiTheme="majorHAnsi" w:hAnsiTheme="majorHAnsi"/>
                <w:b/>
                <w:bCs/>
                <w:sz w:val="24"/>
                <w:szCs w:val="24"/>
              </w:rPr>
            </w:pPr>
            <w:r>
              <w:rPr>
                <w:rFonts w:asciiTheme="majorHAnsi" w:hAnsiTheme="majorHAnsi"/>
                <w:b/>
                <w:bCs/>
                <w:sz w:val="24"/>
                <w:szCs w:val="24"/>
              </w:rPr>
              <w:t xml:space="preserve">Reliquat </w:t>
            </w:r>
            <w:r w:rsidR="00A26FBC">
              <w:rPr>
                <w:rFonts w:asciiTheme="majorHAnsi" w:hAnsiTheme="majorHAnsi"/>
                <w:b/>
                <w:bCs/>
                <w:sz w:val="24"/>
                <w:szCs w:val="24"/>
              </w:rPr>
              <w:t>1</w:t>
            </w:r>
          </w:p>
        </w:tc>
        <w:tc>
          <w:tcPr>
            <w:tcW w:w="2126" w:type="dxa"/>
            <w:vAlign w:val="center"/>
          </w:tcPr>
          <w:p w:rsidR="00D96E96" w:rsidRPr="005F2FF7" w:rsidRDefault="00F6249F" w:rsidP="007132F3">
            <w:pPr>
              <w:jc w:val="right"/>
              <w:rPr>
                <w:b/>
                <w:bCs/>
              </w:rPr>
            </w:pPr>
            <w:r>
              <w:rPr>
                <w:b/>
                <w:bCs/>
              </w:rPr>
              <w:t>2</w:t>
            </w:r>
            <w:r w:rsidR="007132F3">
              <w:rPr>
                <w:b/>
                <w:bCs/>
              </w:rPr>
              <w:t>7</w:t>
            </w:r>
            <w:r w:rsidR="00173A1B">
              <w:rPr>
                <w:b/>
                <w:bCs/>
              </w:rPr>
              <w:t>1</w:t>
            </w:r>
            <w:r w:rsidR="00D96E96" w:rsidRPr="00C45958">
              <w:rPr>
                <w:b/>
                <w:bCs/>
              </w:rPr>
              <w:t>.</w:t>
            </w:r>
            <w:r w:rsidR="00173A1B">
              <w:rPr>
                <w:b/>
                <w:bCs/>
              </w:rPr>
              <w:t>12</w:t>
            </w:r>
            <w:r>
              <w:rPr>
                <w:b/>
                <w:bCs/>
              </w:rPr>
              <w:t>4</w:t>
            </w:r>
            <w:r w:rsidR="00D96E96" w:rsidRPr="00C45958">
              <w:rPr>
                <w:b/>
                <w:bCs/>
              </w:rPr>
              <w:t>,</w:t>
            </w:r>
            <w:r w:rsidR="00D96E96">
              <w:rPr>
                <w:b/>
                <w:bCs/>
              </w:rPr>
              <w:t>5</w:t>
            </w:r>
            <w:r>
              <w:rPr>
                <w:b/>
                <w:bCs/>
              </w:rPr>
              <w:t>00</w:t>
            </w:r>
          </w:p>
        </w:tc>
      </w:tr>
      <w:tr w:rsidR="00055B54" w:rsidRPr="005F2FF7" w:rsidTr="00553406">
        <w:trPr>
          <w:trHeight w:val="2845"/>
        </w:trPr>
        <w:tc>
          <w:tcPr>
            <w:tcW w:w="5757" w:type="dxa"/>
            <w:vAlign w:val="center"/>
          </w:tcPr>
          <w:p w:rsidR="00E679E5" w:rsidRDefault="00055B54" w:rsidP="00E679E5">
            <w:pPr>
              <w:jc w:val="both"/>
              <w:rPr>
                <w:rFonts w:asciiTheme="majorHAnsi" w:hAnsiTheme="majorHAnsi"/>
                <w:sz w:val="24"/>
                <w:szCs w:val="24"/>
              </w:rPr>
            </w:pPr>
            <w:r w:rsidRPr="00AC3F8A">
              <w:rPr>
                <w:rFonts w:asciiTheme="majorHAnsi" w:hAnsiTheme="majorHAnsi"/>
                <w:sz w:val="24"/>
                <w:szCs w:val="24"/>
              </w:rPr>
              <w:t>Déduction de</w:t>
            </w:r>
            <w:r>
              <w:rPr>
                <w:rFonts w:asciiTheme="majorHAnsi" w:hAnsiTheme="majorHAnsi"/>
                <w:sz w:val="24"/>
                <w:szCs w:val="24"/>
              </w:rPr>
              <w:t>s</w:t>
            </w:r>
            <w:r w:rsidRPr="00AC3F8A">
              <w:rPr>
                <w:rFonts w:asciiTheme="majorHAnsi" w:hAnsiTheme="majorHAnsi"/>
                <w:sz w:val="24"/>
                <w:szCs w:val="24"/>
              </w:rPr>
              <w:t xml:space="preserve"> bénéfice</w:t>
            </w:r>
            <w:r>
              <w:rPr>
                <w:rFonts w:asciiTheme="majorHAnsi" w:hAnsiTheme="majorHAnsi"/>
                <w:sz w:val="24"/>
                <w:szCs w:val="24"/>
              </w:rPr>
              <w:t xml:space="preserve">s réinvestis dans le </w:t>
            </w:r>
            <w:r w:rsidRPr="00DB4D13">
              <w:rPr>
                <w:rFonts w:asciiTheme="majorHAnsi" w:hAnsiTheme="majorHAnsi"/>
                <w:sz w:val="24"/>
                <w:szCs w:val="24"/>
              </w:rPr>
              <w:t>capital initial</w:t>
            </w:r>
            <w:r>
              <w:rPr>
                <w:rFonts w:asciiTheme="majorHAnsi" w:hAnsiTheme="majorHAnsi"/>
                <w:sz w:val="24"/>
                <w:szCs w:val="24"/>
              </w:rPr>
              <w:t xml:space="preserve"> d’une société </w:t>
            </w:r>
            <w:r w:rsidR="00F6249F" w:rsidRPr="00234BAD">
              <w:rPr>
                <w:rFonts w:ascii="Cambria" w:eastAsia="Calibri" w:hAnsi="Cambria" w:cs="Arial"/>
                <w:sz w:val="24"/>
                <w:szCs w:val="24"/>
              </w:rPr>
              <w:t xml:space="preserve">SARL </w:t>
            </w:r>
            <w:r w:rsidR="00F6249F" w:rsidRPr="001E7208">
              <w:rPr>
                <w:rFonts w:ascii="Cambria" w:eastAsia="Calibri" w:hAnsi="Cambria" w:cs="Arial"/>
                <w:b/>
                <w:bCs/>
                <w:i/>
                <w:iCs/>
                <w:sz w:val="24"/>
                <w:szCs w:val="24"/>
              </w:rPr>
              <w:t>« XYZ »</w:t>
            </w:r>
            <w:r w:rsidR="00F6249F" w:rsidRPr="00234BAD">
              <w:rPr>
                <w:rFonts w:ascii="Cambria" w:eastAsia="Calibri" w:hAnsi="Cambria" w:cs="Arial"/>
                <w:sz w:val="24"/>
                <w:szCs w:val="24"/>
              </w:rPr>
              <w:t xml:space="preserve"> spécialisée dans la collecte, la transformation ou le traitement des ordures et des déchets ménagers</w:t>
            </w:r>
            <w:r w:rsidR="00A26FBC">
              <w:rPr>
                <w:rFonts w:ascii="Cambria" w:eastAsia="Calibri" w:hAnsi="Cambria" w:cs="Arial"/>
                <w:sz w:val="24"/>
                <w:szCs w:val="24"/>
              </w:rPr>
              <w:t xml:space="preserve"> </w:t>
            </w:r>
            <w:r>
              <w:rPr>
                <w:rFonts w:asciiTheme="majorHAnsi" w:hAnsiTheme="majorHAnsi"/>
                <w:sz w:val="24"/>
                <w:szCs w:val="24"/>
              </w:rPr>
              <w:t xml:space="preserve">: </w:t>
            </w:r>
            <w:r w:rsidR="00F6249F">
              <w:rPr>
                <w:rFonts w:asciiTheme="majorHAnsi" w:hAnsiTheme="majorHAnsi"/>
                <w:b/>
                <w:bCs/>
                <w:i/>
                <w:iCs/>
                <w:sz w:val="24"/>
                <w:szCs w:val="24"/>
              </w:rPr>
              <w:t>5</w:t>
            </w:r>
            <w:r w:rsidRPr="009631F4">
              <w:rPr>
                <w:rFonts w:asciiTheme="majorHAnsi" w:hAnsiTheme="majorHAnsi"/>
                <w:b/>
                <w:bCs/>
                <w:i/>
                <w:iCs/>
                <w:sz w:val="24"/>
                <w:szCs w:val="24"/>
              </w:rPr>
              <w:t>0%</w:t>
            </w:r>
            <w:r>
              <w:rPr>
                <w:rFonts w:asciiTheme="majorHAnsi" w:hAnsiTheme="majorHAnsi"/>
                <w:sz w:val="24"/>
                <w:szCs w:val="24"/>
              </w:rPr>
              <w:t xml:space="preserve"> </w:t>
            </w:r>
            <w:r w:rsidR="00F6249F" w:rsidRPr="00E679E5">
              <w:rPr>
                <w:rFonts w:asciiTheme="majorHAnsi" w:hAnsiTheme="majorHAnsi"/>
                <w:b/>
                <w:bCs/>
                <w:i/>
                <w:iCs/>
                <w:sz w:val="24"/>
                <w:szCs w:val="24"/>
              </w:rPr>
              <w:t>avec</w:t>
            </w:r>
            <w:r w:rsidRPr="00E679E5">
              <w:rPr>
                <w:rFonts w:asciiTheme="majorHAnsi" w:hAnsiTheme="majorHAnsi"/>
                <w:b/>
                <w:bCs/>
                <w:i/>
                <w:iCs/>
                <w:sz w:val="24"/>
                <w:szCs w:val="24"/>
              </w:rPr>
              <w:t xml:space="preserve"> min D’impôt</w:t>
            </w:r>
            <w:r w:rsidR="00E679E5" w:rsidRPr="00E679E5">
              <w:rPr>
                <w:rFonts w:asciiTheme="majorHAnsi" w:hAnsiTheme="majorHAnsi"/>
                <w:b/>
                <w:bCs/>
                <w:i/>
                <w:iCs/>
                <w:sz w:val="24"/>
                <w:szCs w:val="24"/>
              </w:rPr>
              <w:t xml:space="preserve"> </w:t>
            </w:r>
            <w:r w:rsidR="00E679E5">
              <w:rPr>
                <w:rFonts w:asciiTheme="majorHAnsi" w:hAnsiTheme="majorHAnsi"/>
                <w:sz w:val="24"/>
                <w:szCs w:val="24"/>
              </w:rPr>
              <w:t>prévu par l’article 12 de la loi n°89-114 du 30 novembre 1989, portant promulgation du code d’IRPP et d’IS.</w:t>
            </w:r>
          </w:p>
          <w:p w:rsidR="00CE4A93" w:rsidRDefault="00CE4A93" w:rsidP="00CE4A93">
            <w:pPr>
              <w:jc w:val="both"/>
              <w:rPr>
                <w:rFonts w:asciiTheme="majorHAnsi" w:hAnsiTheme="majorHAnsi"/>
                <w:sz w:val="24"/>
                <w:szCs w:val="24"/>
              </w:rPr>
            </w:pPr>
            <w:r>
              <w:rPr>
                <w:rFonts w:asciiTheme="majorHAnsi" w:hAnsiTheme="majorHAnsi"/>
                <w:sz w:val="24"/>
                <w:szCs w:val="24"/>
              </w:rPr>
              <w:t>Montant investi = 200.000 TND</w:t>
            </w:r>
          </w:p>
          <w:p w:rsidR="00F6249F" w:rsidRDefault="00F6249F" w:rsidP="007132F3">
            <w:pPr>
              <w:jc w:val="both"/>
              <w:rPr>
                <w:rFonts w:asciiTheme="majorHAnsi" w:hAnsiTheme="majorHAnsi"/>
                <w:sz w:val="24"/>
                <w:szCs w:val="24"/>
              </w:rPr>
            </w:pPr>
            <w:r>
              <w:rPr>
                <w:rFonts w:asciiTheme="majorHAnsi" w:hAnsiTheme="majorHAnsi"/>
                <w:sz w:val="24"/>
                <w:szCs w:val="24"/>
              </w:rPr>
              <w:t>Plafond = 2</w:t>
            </w:r>
            <w:r w:rsidR="007132F3">
              <w:rPr>
                <w:rFonts w:asciiTheme="majorHAnsi" w:hAnsiTheme="majorHAnsi"/>
                <w:sz w:val="24"/>
                <w:szCs w:val="24"/>
              </w:rPr>
              <w:t>7</w:t>
            </w:r>
            <w:r w:rsidR="001F5CE0">
              <w:rPr>
                <w:rFonts w:asciiTheme="majorHAnsi" w:hAnsiTheme="majorHAnsi"/>
                <w:sz w:val="24"/>
                <w:szCs w:val="24"/>
              </w:rPr>
              <w:t>1</w:t>
            </w:r>
            <w:r>
              <w:rPr>
                <w:rFonts w:asciiTheme="majorHAnsi" w:hAnsiTheme="majorHAnsi"/>
                <w:sz w:val="24"/>
                <w:szCs w:val="24"/>
              </w:rPr>
              <w:t>.</w:t>
            </w:r>
            <w:r w:rsidR="001F5CE0">
              <w:rPr>
                <w:rFonts w:asciiTheme="majorHAnsi" w:hAnsiTheme="majorHAnsi"/>
                <w:sz w:val="24"/>
                <w:szCs w:val="24"/>
              </w:rPr>
              <w:t>12</w:t>
            </w:r>
            <w:r>
              <w:rPr>
                <w:rFonts w:asciiTheme="majorHAnsi" w:hAnsiTheme="majorHAnsi"/>
                <w:sz w:val="24"/>
                <w:szCs w:val="24"/>
              </w:rPr>
              <w:t xml:space="preserve">4,500 </w:t>
            </w:r>
            <w:r w:rsidRPr="00922D2E">
              <w:rPr>
                <w:rFonts w:asciiTheme="majorHAnsi" w:hAnsiTheme="majorHAnsi"/>
                <w:sz w:val="24"/>
                <w:szCs w:val="24"/>
              </w:rPr>
              <w:t>x</w:t>
            </w:r>
            <w:r>
              <w:rPr>
                <w:rFonts w:asciiTheme="majorHAnsi" w:hAnsiTheme="majorHAnsi"/>
                <w:sz w:val="24"/>
                <w:szCs w:val="24"/>
              </w:rPr>
              <w:t xml:space="preserve"> 50</w:t>
            </w:r>
            <w:r w:rsidRPr="00922D2E">
              <w:rPr>
                <w:rFonts w:asciiTheme="majorHAnsi" w:hAnsiTheme="majorHAnsi"/>
                <w:sz w:val="24"/>
                <w:szCs w:val="24"/>
              </w:rPr>
              <w:t>%</w:t>
            </w:r>
            <w:r>
              <w:rPr>
                <w:rFonts w:asciiTheme="majorHAnsi" w:hAnsiTheme="majorHAnsi"/>
                <w:sz w:val="24"/>
                <w:szCs w:val="24"/>
              </w:rPr>
              <w:t xml:space="preserve"> = 1</w:t>
            </w:r>
            <w:r w:rsidR="007132F3">
              <w:rPr>
                <w:rFonts w:asciiTheme="majorHAnsi" w:hAnsiTheme="majorHAnsi"/>
                <w:sz w:val="24"/>
                <w:szCs w:val="24"/>
              </w:rPr>
              <w:t>35</w:t>
            </w:r>
            <w:r>
              <w:rPr>
                <w:rFonts w:asciiTheme="majorHAnsi" w:hAnsiTheme="majorHAnsi"/>
                <w:sz w:val="24"/>
                <w:szCs w:val="24"/>
              </w:rPr>
              <w:t>.5</w:t>
            </w:r>
            <w:r w:rsidR="00173A1B">
              <w:rPr>
                <w:rFonts w:asciiTheme="majorHAnsi" w:hAnsiTheme="majorHAnsi"/>
                <w:sz w:val="24"/>
                <w:szCs w:val="24"/>
              </w:rPr>
              <w:t>62</w:t>
            </w:r>
            <w:r>
              <w:rPr>
                <w:rFonts w:asciiTheme="majorHAnsi" w:hAnsiTheme="majorHAnsi"/>
                <w:sz w:val="24"/>
                <w:szCs w:val="24"/>
              </w:rPr>
              <w:t>,250</w:t>
            </w:r>
            <w:r w:rsidR="00A26FBC">
              <w:rPr>
                <w:rFonts w:asciiTheme="majorHAnsi" w:hAnsiTheme="majorHAnsi"/>
                <w:sz w:val="24"/>
                <w:szCs w:val="24"/>
              </w:rPr>
              <w:t xml:space="preserve"> TND</w:t>
            </w:r>
          </w:p>
          <w:p w:rsidR="00055B54" w:rsidRDefault="00055B54" w:rsidP="00E679E5">
            <w:pPr>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 xml:space="preserve">article </w:t>
            </w:r>
            <w:r w:rsidR="00E679E5">
              <w:rPr>
                <w:rFonts w:asciiTheme="majorHAnsi" w:hAnsiTheme="majorHAnsi"/>
                <w:sz w:val="24"/>
                <w:szCs w:val="24"/>
              </w:rPr>
              <w:t>38</w:t>
            </w:r>
            <w:r>
              <w:rPr>
                <w:rFonts w:asciiTheme="majorHAnsi" w:hAnsiTheme="majorHAnsi"/>
                <w:sz w:val="24"/>
                <w:szCs w:val="24"/>
              </w:rPr>
              <w:t xml:space="preserve"> du code CII.</w:t>
            </w:r>
          </w:p>
          <w:p w:rsidR="0080588F" w:rsidRPr="00AC3F8A" w:rsidRDefault="0080588F" w:rsidP="0080588F">
            <w:pPr>
              <w:jc w:val="both"/>
              <w:rPr>
                <w:rFonts w:asciiTheme="majorHAnsi" w:hAnsiTheme="majorHAnsi"/>
                <w:sz w:val="24"/>
                <w:szCs w:val="24"/>
              </w:rPr>
            </w:pPr>
          </w:p>
        </w:tc>
        <w:tc>
          <w:tcPr>
            <w:tcW w:w="2126" w:type="dxa"/>
            <w:vAlign w:val="center"/>
          </w:tcPr>
          <w:p w:rsidR="00055B54" w:rsidRPr="00CE4A93" w:rsidRDefault="00285AD6" w:rsidP="007132F3">
            <w:pPr>
              <w:jc w:val="right"/>
            </w:pPr>
            <w:r>
              <w:t>-</w:t>
            </w:r>
            <w:r w:rsidR="00CE4A93" w:rsidRPr="00CE4A93">
              <w:t>1</w:t>
            </w:r>
            <w:r w:rsidR="007132F3">
              <w:t>35</w:t>
            </w:r>
            <w:r w:rsidR="00055B54" w:rsidRPr="00CE4A93">
              <w:t>.</w:t>
            </w:r>
            <w:r w:rsidR="00CE4A93" w:rsidRPr="00CE4A93">
              <w:t>5</w:t>
            </w:r>
            <w:r w:rsidR="00173A1B">
              <w:t>62</w:t>
            </w:r>
            <w:r w:rsidR="00055B54" w:rsidRPr="00CE4A93">
              <w:t>,</w:t>
            </w:r>
            <w:r w:rsidR="00CE4A93" w:rsidRPr="00CE4A93">
              <w:t>25</w:t>
            </w:r>
            <w:r w:rsidR="00055B54" w:rsidRPr="00CE4A93">
              <w:t>0</w:t>
            </w:r>
          </w:p>
        </w:tc>
      </w:tr>
      <w:tr w:rsidR="00CE4A93" w:rsidRPr="007132F3" w:rsidTr="009571A0">
        <w:trPr>
          <w:trHeight w:val="615"/>
        </w:trPr>
        <w:tc>
          <w:tcPr>
            <w:tcW w:w="5757" w:type="dxa"/>
            <w:vAlign w:val="center"/>
          </w:tcPr>
          <w:p w:rsidR="006F0EC3" w:rsidRPr="005F2FF7" w:rsidRDefault="00553406" w:rsidP="009571A0">
            <w:pPr>
              <w:rPr>
                <w:rFonts w:asciiTheme="majorHAnsi" w:hAnsiTheme="majorHAnsi"/>
                <w:b/>
                <w:bCs/>
                <w:sz w:val="24"/>
                <w:szCs w:val="24"/>
              </w:rPr>
            </w:pPr>
            <w:r>
              <w:rPr>
                <w:rFonts w:asciiTheme="majorHAnsi" w:hAnsiTheme="majorHAnsi"/>
                <w:b/>
                <w:bCs/>
                <w:sz w:val="24"/>
                <w:szCs w:val="24"/>
              </w:rPr>
              <w:t>Reliquat 2</w:t>
            </w:r>
          </w:p>
        </w:tc>
        <w:tc>
          <w:tcPr>
            <w:tcW w:w="2126" w:type="dxa"/>
            <w:vAlign w:val="center"/>
          </w:tcPr>
          <w:p w:rsidR="00CE4A93" w:rsidRPr="005F2FF7" w:rsidRDefault="007132F3" w:rsidP="007F3624">
            <w:pPr>
              <w:jc w:val="right"/>
              <w:rPr>
                <w:b/>
                <w:bCs/>
              </w:rPr>
            </w:pPr>
            <w:r w:rsidRPr="007132F3">
              <w:rPr>
                <w:b/>
                <w:bCs/>
              </w:rPr>
              <w:t>135.562,250</w:t>
            </w:r>
          </w:p>
        </w:tc>
      </w:tr>
      <w:tr w:rsidR="00CE4A93" w:rsidRPr="005F2FF7" w:rsidTr="00055B54">
        <w:trPr>
          <w:trHeight w:val="408"/>
        </w:trPr>
        <w:tc>
          <w:tcPr>
            <w:tcW w:w="5757" w:type="dxa"/>
            <w:vAlign w:val="center"/>
          </w:tcPr>
          <w:p w:rsidR="00E679E5" w:rsidRDefault="00CE4A93" w:rsidP="00FF0CD9">
            <w:pPr>
              <w:jc w:val="both"/>
              <w:rPr>
                <w:rFonts w:asciiTheme="majorHAnsi" w:hAnsiTheme="majorHAnsi"/>
                <w:sz w:val="24"/>
                <w:szCs w:val="24"/>
              </w:rPr>
            </w:pPr>
            <w:r w:rsidRPr="00AC3F8A">
              <w:rPr>
                <w:rFonts w:asciiTheme="majorHAnsi" w:hAnsiTheme="majorHAnsi"/>
                <w:sz w:val="24"/>
                <w:szCs w:val="24"/>
              </w:rPr>
              <w:t>Déduction de</w:t>
            </w:r>
            <w:r>
              <w:rPr>
                <w:rFonts w:asciiTheme="majorHAnsi" w:hAnsiTheme="majorHAnsi"/>
                <w:sz w:val="24"/>
                <w:szCs w:val="24"/>
              </w:rPr>
              <w:t>s</w:t>
            </w:r>
            <w:r w:rsidRPr="00AC3F8A">
              <w:rPr>
                <w:rFonts w:asciiTheme="majorHAnsi" w:hAnsiTheme="majorHAnsi"/>
                <w:sz w:val="24"/>
                <w:szCs w:val="24"/>
              </w:rPr>
              <w:t xml:space="preserve"> bénéfice</w:t>
            </w:r>
            <w:r>
              <w:rPr>
                <w:rFonts w:asciiTheme="majorHAnsi" w:hAnsiTheme="majorHAnsi"/>
                <w:sz w:val="24"/>
                <w:szCs w:val="24"/>
              </w:rPr>
              <w:t xml:space="preserve">s réinvestis dans le </w:t>
            </w:r>
            <w:r w:rsidRPr="00E90659">
              <w:rPr>
                <w:rFonts w:ascii="Cambria" w:eastAsia="Calibri" w:hAnsi="Cambria" w:cs="Arial"/>
                <w:sz w:val="24"/>
                <w:szCs w:val="24"/>
              </w:rPr>
              <w:t>fonds d’amorçage</w:t>
            </w:r>
            <w:r>
              <w:rPr>
                <w:rFonts w:ascii="Cambria" w:eastAsia="Calibri" w:hAnsi="Cambria" w:cs="Arial"/>
                <w:sz w:val="24"/>
                <w:szCs w:val="24"/>
              </w:rPr>
              <w:t xml:space="preserve"> </w:t>
            </w:r>
            <w:r>
              <w:rPr>
                <w:rFonts w:asciiTheme="majorHAnsi" w:hAnsiTheme="majorHAnsi"/>
                <w:sz w:val="24"/>
                <w:szCs w:val="24"/>
              </w:rPr>
              <w:t xml:space="preserve">: </w:t>
            </w:r>
            <w:r>
              <w:rPr>
                <w:rFonts w:asciiTheme="majorHAnsi" w:hAnsiTheme="majorHAnsi"/>
                <w:b/>
                <w:bCs/>
                <w:i/>
                <w:iCs/>
                <w:sz w:val="24"/>
                <w:szCs w:val="24"/>
              </w:rPr>
              <w:t>10</w:t>
            </w:r>
            <w:r w:rsidRPr="009631F4">
              <w:rPr>
                <w:rFonts w:asciiTheme="majorHAnsi" w:hAnsiTheme="majorHAnsi"/>
                <w:b/>
                <w:bCs/>
                <w:i/>
                <w:iCs/>
                <w:sz w:val="24"/>
                <w:szCs w:val="24"/>
              </w:rPr>
              <w:t>0%</w:t>
            </w:r>
            <w:r>
              <w:rPr>
                <w:rFonts w:asciiTheme="majorHAnsi" w:hAnsiTheme="majorHAnsi"/>
                <w:sz w:val="24"/>
                <w:szCs w:val="24"/>
              </w:rPr>
              <w:t xml:space="preserve"> </w:t>
            </w:r>
            <w:r w:rsidR="00FF0CD9">
              <w:rPr>
                <w:rFonts w:asciiTheme="majorHAnsi" w:hAnsiTheme="majorHAnsi"/>
                <w:sz w:val="24"/>
                <w:szCs w:val="24"/>
              </w:rPr>
              <w:t>nonobstant</w:t>
            </w:r>
            <w:r>
              <w:rPr>
                <w:rFonts w:asciiTheme="majorHAnsi" w:hAnsiTheme="majorHAnsi"/>
                <w:sz w:val="24"/>
                <w:szCs w:val="24"/>
              </w:rPr>
              <w:t xml:space="preserve"> </w:t>
            </w:r>
            <w:r w:rsidR="00FF0CD9">
              <w:rPr>
                <w:rFonts w:asciiTheme="majorHAnsi" w:hAnsiTheme="majorHAnsi"/>
                <w:sz w:val="24"/>
                <w:szCs w:val="24"/>
              </w:rPr>
              <w:t xml:space="preserve">le </w:t>
            </w:r>
            <w:r>
              <w:rPr>
                <w:rFonts w:asciiTheme="majorHAnsi" w:hAnsiTheme="majorHAnsi"/>
                <w:sz w:val="24"/>
                <w:szCs w:val="24"/>
              </w:rPr>
              <w:t>min D’impôt</w:t>
            </w:r>
            <w:r w:rsidR="00E679E5">
              <w:rPr>
                <w:rFonts w:asciiTheme="majorHAnsi" w:hAnsiTheme="majorHAnsi"/>
                <w:sz w:val="24"/>
                <w:szCs w:val="24"/>
              </w:rPr>
              <w:t xml:space="preserve"> prévu par l’article 12 de la loi n°89-114 du 30 novembre 1989, portant promulgation du code d’IRPP et d’IS.</w:t>
            </w:r>
          </w:p>
          <w:p w:rsidR="00CE4A93" w:rsidRDefault="00CE4A93" w:rsidP="00CE4A93">
            <w:pPr>
              <w:jc w:val="both"/>
              <w:rPr>
                <w:rFonts w:asciiTheme="majorHAnsi" w:hAnsiTheme="majorHAnsi"/>
                <w:sz w:val="24"/>
                <w:szCs w:val="24"/>
              </w:rPr>
            </w:pPr>
            <w:r>
              <w:rPr>
                <w:rFonts w:asciiTheme="majorHAnsi" w:hAnsiTheme="majorHAnsi"/>
                <w:sz w:val="24"/>
                <w:szCs w:val="24"/>
              </w:rPr>
              <w:t>Montant investi = 100.000 TND</w:t>
            </w:r>
          </w:p>
          <w:p w:rsidR="00CE4A93" w:rsidRDefault="00CE4A93" w:rsidP="008E1A8F">
            <w:pPr>
              <w:jc w:val="both"/>
              <w:rPr>
                <w:b/>
                <w:bCs/>
              </w:rPr>
            </w:pPr>
            <w:r>
              <w:rPr>
                <w:rFonts w:asciiTheme="majorHAnsi" w:hAnsiTheme="majorHAnsi"/>
                <w:sz w:val="24"/>
                <w:szCs w:val="24"/>
              </w:rPr>
              <w:t xml:space="preserve">Plafond = </w:t>
            </w:r>
            <w:r w:rsidRPr="00CE4A93">
              <w:rPr>
                <w:rFonts w:asciiTheme="majorHAnsi" w:hAnsiTheme="majorHAnsi"/>
                <w:sz w:val="24"/>
                <w:szCs w:val="24"/>
              </w:rPr>
              <w:t>1</w:t>
            </w:r>
            <w:r w:rsidR="008E1A8F">
              <w:rPr>
                <w:rFonts w:asciiTheme="majorHAnsi" w:hAnsiTheme="majorHAnsi"/>
                <w:sz w:val="24"/>
                <w:szCs w:val="24"/>
              </w:rPr>
              <w:t>35</w:t>
            </w:r>
            <w:r w:rsidRPr="00CE4A93">
              <w:rPr>
                <w:rFonts w:asciiTheme="majorHAnsi" w:hAnsiTheme="majorHAnsi"/>
                <w:sz w:val="24"/>
                <w:szCs w:val="24"/>
              </w:rPr>
              <w:t>.5</w:t>
            </w:r>
            <w:r w:rsidR="008E1A8F">
              <w:rPr>
                <w:rFonts w:asciiTheme="majorHAnsi" w:hAnsiTheme="majorHAnsi"/>
                <w:sz w:val="24"/>
                <w:szCs w:val="24"/>
              </w:rPr>
              <w:t>62</w:t>
            </w:r>
            <w:r w:rsidRPr="00CE4A93">
              <w:rPr>
                <w:rFonts w:asciiTheme="majorHAnsi" w:hAnsiTheme="majorHAnsi"/>
                <w:sz w:val="24"/>
                <w:szCs w:val="24"/>
              </w:rPr>
              <w:t>,250</w:t>
            </w:r>
            <w:r>
              <w:rPr>
                <w:b/>
                <w:bCs/>
              </w:rPr>
              <w:t xml:space="preserve"> </w:t>
            </w:r>
            <w:r w:rsidRPr="00922D2E">
              <w:rPr>
                <w:rFonts w:asciiTheme="majorHAnsi" w:hAnsiTheme="majorHAnsi"/>
                <w:sz w:val="24"/>
                <w:szCs w:val="24"/>
              </w:rPr>
              <w:t>x</w:t>
            </w:r>
            <w:r>
              <w:rPr>
                <w:rFonts w:asciiTheme="majorHAnsi" w:hAnsiTheme="majorHAnsi"/>
                <w:sz w:val="24"/>
                <w:szCs w:val="24"/>
              </w:rPr>
              <w:t xml:space="preserve"> 100</w:t>
            </w:r>
            <w:r w:rsidRPr="00922D2E">
              <w:rPr>
                <w:rFonts w:asciiTheme="majorHAnsi" w:hAnsiTheme="majorHAnsi"/>
                <w:sz w:val="24"/>
                <w:szCs w:val="24"/>
              </w:rPr>
              <w:t>%</w:t>
            </w:r>
            <w:r>
              <w:rPr>
                <w:rFonts w:asciiTheme="majorHAnsi" w:hAnsiTheme="majorHAnsi"/>
                <w:sz w:val="24"/>
                <w:szCs w:val="24"/>
              </w:rPr>
              <w:t xml:space="preserve"> = </w:t>
            </w:r>
            <w:r w:rsidR="008E1A8F" w:rsidRPr="00CE4A93">
              <w:rPr>
                <w:rFonts w:asciiTheme="majorHAnsi" w:hAnsiTheme="majorHAnsi"/>
                <w:sz w:val="24"/>
                <w:szCs w:val="24"/>
              </w:rPr>
              <w:t>1</w:t>
            </w:r>
            <w:r w:rsidR="008E1A8F">
              <w:rPr>
                <w:rFonts w:asciiTheme="majorHAnsi" w:hAnsiTheme="majorHAnsi"/>
                <w:sz w:val="24"/>
                <w:szCs w:val="24"/>
              </w:rPr>
              <w:t>35</w:t>
            </w:r>
            <w:r w:rsidR="008E1A8F" w:rsidRPr="00CE4A93">
              <w:rPr>
                <w:rFonts w:asciiTheme="majorHAnsi" w:hAnsiTheme="majorHAnsi"/>
                <w:sz w:val="24"/>
                <w:szCs w:val="24"/>
              </w:rPr>
              <w:t>.5</w:t>
            </w:r>
            <w:r w:rsidR="008E1A8F">
              <w:rPr>
                <w:rFonts w:asciiTheme="majorHAnsi" w:hAnsiTheme="majorHAnsi"/>
                <w:sz w:val="24"/>
                <w:szCs w:val="24"/>
              </w:rPr>
              <w:t>62</w:t>
            </w:r>
            <w:r w:rsidR="008E1A8F" w:rsidRPr="00CE4A93">
              <w:rPr>
                <w:rFonts w:asciiTheme="majorHAnsi" w:hAnsiTheme="majorHAnsi"/>
                <w:sz w:val="24"/>
                <w:szCs w:val="24"/>
              </w:rPr>
              <w:t>,250</w:t>
            </w:r>
            <w:r w:rsidR="008E1A8F">
              <w:rPr>
                <w:b/>
                <w:bCs/>
              </w:rPr>
              <w:t xml:space="preserve"> </w:t>
            </w:r>
            <w:r w:rsidR="00A26FBC">
              <w:rPr>
                <w:rFonts w:asciiTheme="majorHAnsi" w:hAnsiTheme="majorHAnsi"/>
                <w:sz w:val="24"/>
                <w:szCs w:val="24"/>
              </w:rPr>
              <w:t>TND</w:t>
            </w:r>
          </w:p>
          <w:p w:rsidR="00CE4A93" w:rsidRPr="00AC3F8A" w:rsidRDefault="00CE4A93" w:rsidP="00E679E5">
            <w:pPr>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 xml:space="preserve">article </w:t>
            </w:r>
            <w:r w:rsidR="00E679E5">
              <w:rPr>
                <w:rFonts w:asciiTheme="majorHAnsi" w:hAnsiTheme="majorHAnsi"/>
                <w:sz w:val="24"/>
                <w:szCs w:val="24"/>
              </w:rPr>
              <w:t xml:space="preserve">48-VII </w:t>
            </w:r>
            <w:proofErr w:type="spellStart"/>
            <w:r w:rsidR="00E679E5">
              <w:rPr>
                <w:rFonts w:asciiTheme="majorHAnsi" w:hAnsiTheme="majorHAnsi"/>
                <w:sz w:val="24"/>
                <w:szCs w:val="24"/>
              </w:rPr>
              <w:t>duovicies</w:t>
            </w:r>
            <w:proofErr w:type="spellEnd"/>
            <w:r w:rsidR="00E679E5">
              <w:rPr>
                <w:rFonts w:asciiTheme="majorHAnsi" w:hAnsiTheme="majorHAnsi"/>
                <w:sz w:val="24"/>
                <w:szCs w:val="24"/>
              </w:rPr>
              <w:t xml:space="preserve"> </w:t>
            </w:r>
            <w:r>
              <w:rPr>
                <w:rFonts w:asciiTheme="majorHAnsi" w:hAnsiTheme="majorHAnsi"/>
                <w:sz w:val="24"/>
                <w:szCs w:val="24"/>
              </w:rPr>
              <w:t xml:space="preserve">du code </w:t>
            </w:r>
            <w:r w:rsidR="00E679E5">
              <w:rPr>
                <w:rFonts w:asciiTheme="majorHAnsi" w:hAnsiTheme="majorHAnsi"/>
                <w:sz w:val="24"/>
                <w:szCs w:val="24"/>
              </w:rPr>
              <w:t>d’IRPP et d’IS</w:t>
            </w:r>
            <w:r>
              <w:rPr>
                <w:rFonts w:asciiTheme="majorHAnsi" w:hAnsiTheme="majorHAnsi"/>
                <w:sz w:val="24"/>
                <w:szCs w:val="24"/>
              </w:rPr>
              <w:t>.</w:t>
            </w:r>
          </w:p>
        </w:tc>
        <w:tc>
          <w:tcPr>
            <w:tcW w:w="2126" w:type="dxa"/>
            <w:vAlign w:val="center"/>
          </w:tcPr>
          <w:p w:rsidR="00CE4A93" w:rsidRDefault="00285AD6" w:rsidP="00CE4A93">
            <w:pPr>
              <w:jc w:val="right"/>
              <w:rPr>
                <w:b/>
                <w:bCs/>
              </w:rPr>
            </w:pPr>
            <w:r>
              <w:t>-</w:t>
            </w:r>
            <w:r w:rsidR="00CE4A93">
              <w:t>100</w:t>
            </w:r>
            <w:r w:rsidR="00CE4A93" w:rsidRPr="00CE4A93">
              <w:t>.</w:t>
            </w:r>
            <w:r w:rsidR="00CE4A93">
              <w:t>000</w:t>
            </w:r>
            <w:r w:rsidR="00CE4A93" w:rsidRPr="00CE4A93">
              <w:t>,</w:t>
            </w:r>
            <w:r w:rsidR="00CE4A93">
              <w:t>00</w:t>
            </w:r>
            <w:r w:rsidR="00CE4A93" w:rsidRPr="00CE4A93">
              <w:t>0</w:t>
            </w:r>
          </w:p>
        </w:tc>
      </w:tr>
      <w:tr w:rsidR="00CE4A93" w:rsidRPr="005F2FF7" w:rsidTr="00055B54">
        <w:trPr>
          <w:trHeight w:val="408"/>
        </w:trPr>
        <w:tc>
          <w:tcPr>
            <w:tcW w:w="5757" w:type="dxa"/>
            <w:vAlign w:val="center"/>
          </w:tcPr>
          <w:p w:rsidR="00CE4A93" w:rsidRPr="005F2FF7" w:rsidRDefault="00261B30" w:rsidP="009B4F09">
            <w:pPr>
              <w:jc w:val="both"/>
              <w:rPr>
                <w:rFonts w:asciiTheme="majorHAnsi" w:hAnsiTheme="majorHAnsi"/>
                <w:b/>
                <w:bCs/>
                <w:sz w:val="24"/>
                <w:szCs w:val="24"/>
              </w:rPr>
            </w:pPr>
            <w:r>
              <w:rPr>
                <w:rFonts w:asciiTheme="majorHAnsi" w:hAnsiTheme="majorHAnsi"/>
                <w:b/>
                <w:bCs/>
                <w:sz w:val="24"/>
                <w:szCs w:val="24"/>
              </w:rPr>
              <w:t>Résultat</w:t>
            </w:r>
            <w:r w:rsidR="00CE4A93" w:rsidRPr="005F2FF7">
              <w:rPr>
                <w:rFonts w:asciiTheme="majorHAnsi" w:hAnsiTheme="majorHAnsi"/>
                <w:b/>
                <w:bCs/>
                <w:sz w:val="24"/>
                <w:szCs w:val="24"/>
              </w:rPr>
              <w:t xml:space="preserve"> fiscal </w:t>
            </w:r>
            <w:r w:rsidR="00CE4A93">
              <w:rPr>
                <w:rFonts w:asciiTheme="majorHAnsi" w:hAnsiTheme="majorHAnsi"/>
                <w:b/>
                <w:bCs/>
                <w:sz w:val="24"/>
                <w:szCs w:val="24"/>
              </w:rPr>
              <w:t xml:space="preserve">imposable </w:t>
            </w:r>
          </w:p>
        </w:tc>
        <w:tc>
          <w:tcPr>
            <w:tcW w:w="2126" w:type="dxa"/>
            <w:vAlign w:val="center"/>
          </w:tcPr>
          <w:p w:rsidR="00CE4A93" w:rsidRPr="005F2FF7" w:rsidRDefault="007132F3" w:rsidP="00D619EF">
            <w:pPr>
              <w:jc w:val="right"/>
              <w:rPr>
                <w:b/>
                <w:bCs/>
              </w:rPr>
            </w:pPr>
            <w:r>
              <w:rPr>
                <w:b/>
                <w:bCs/>
              </w:rPr>
              <w:t>35</w:t>
            </w:r>
            <w:r w:rsidR="00CE4A93">
              <w:rPr>
                <w:b/>
                <w:bCs/>
              </w:rPr>
              <w:t>.</w:t>
            </w:r>
            <w:r w:rsidR="00D619EF">
              <w:rPr>
                <w:b/>
                <w:bCs/>
              </w:rPr>
              <w:t>562</w:t>
            </w:r>
            <w:r w:rsidR="00CE4A93">
              <w:rPr>
                <w:b/>
                <w:bCs/>
              </w:rPr>
              <w:t>,250</w:t>
            </w:r>
          </w:p>
        </w:tc>
      </w:tr>
      <w:tr w:rsidR="00CE4A93" w:rsidRPr="005F2FF7" w:rsidTr="00055B54">
        <w:trPr>
          <w:trHeight w:val="408"/>
        </w:trPr>
        <w:tc>
          <w:tcPr>
            <w:tcW w:w="5757" w:type="dxa"/>
            <w:vAlign w:val="center"/>
          </w:tcPr>
          <w:p w:rsidR="00CE4A93" w:rsidRPr="005F2FF7" w:rsidRDefault="00CE4A93" w:rsidP="00CE25C2">
            <w:pPr>
              <w:jc w:val="both"/>
              <w:rPr>
                <w:rFonts w:asciiTheme="majorHAnsi" w:hAnsiTheme="majorHAnsi"/>
                <w:b/>
                <w:bCs/>
                <w:sz w:val="24"/>
                <w:szCs w:val="24"/>
              </w:rPr>
            </w:pPr>
            <w:r w:rsidRPr="005F2FF7">
              <w:rPr>
                <w:rFonts w:asciiTheme="majorHAnsi" w:hAnsiTheme="majorHAnsi"/>
                <w:b/>
                <w:bCs/>
                <w:sz w:val="24"/>
                <w:szCs w:val="24"/>
              </w:rPr>
              <w:t>Bénéfice fiscal arrondi au dinar inferieur</w:t>
            </w:r>
          </w:p>
        </w:tc>
        <w:tc>
          <w:tcPr>
            <w:tcW w:w="2126" w:type="dxa"/>
            <w:vAlign w:val="center"/>
          </w:tcPr>
          <w:p w:rsidR="00CE4A93" w:rsidRPr="005F2FF7" w:rsidRDefault="007132F3" w:rsidP="00D619EF">
            <w:pPr>
              <w:jc w:val="right"/>
              <w:rPr>
                <w:b/>
                <w:bCs/>
              </w:rPr>
            </w:pPr>
            <w:r>
              <w:rPr>
                <w:b/>
                <w:bCs/>
              </w:rPr>
              <w:t>35</w:t>
            </w:r>
            <w:r w:rsidR="00D619EF">
              <w:rPr>
                <w:b/>
                <w:bCs/>
              </w:rPr>
              <w:t>.562,000</w:t>
            </w:r>
          </w:p>
        </w:tc>
      </w:tr>
      <w:tr w:rsidR="00CE4A93" w:rsidRPr="005F2FF7" w:rsidTr="00055B54">
        <w:trPr>
          <w:trHeight w:val="408"/>
        </w:trPr>
        <w:tc>
          <w:tcPr>
            <w:tcW w:w="5757" w:type="dxa"/>
            <w:vAlign w:val="center"/>
          </w:tcPr>
          <w:p w:rsidR="00CE4A93" w:rsidRPr="008300B2" w:rsidRDefault="00CE4A93" w:rsidP="00285AD6">
            <w:pPr>
              <w:jc w:val="both"/>
              <w:rPr>
                <w:rFonts w:asciiTheme="majorHAnsi" w:hAnsiTheme="majorHAnsi"/>
                <w:sz w:val="24"/>
                <w:szCs w:val="24"/>
              </w:rPr>
            </w:pPr>
            <w:r w:rsidRPr="00922D2E">
              <w:rPr>
                <w:rFonts w:asciiTheme="majorHAnsi" w:hAnsiTheme="majorHAnsi"/>
                <w:sz w:val="24"/>
                <w:szCs w:val="24"/>
              </w:rPr>
              <w:t xml:space="preserve">IS dû : </w:t>
            </w:r>
            <w:r w:rsidR="00285AD6">
              <w:rPr>
                <w:rFonts w:asciiTheme="majorHAnsi" w:hAnsiTheme="majorHAnsi"/>
                <w:sz w:val="24"/>
                <w:szCs w:val="24"/>
              </w:rPr>
              <w:t>35</w:t>
            </w:r>
            <w:r w:rsidRPr="00922D2E">
              <w:rPr>
                <w:rFonts w:asciiTheme="majorHAnsi" w:hAnsiTheme="majorHAnsi"/>
                <w:sz w:val="24"/>
                <w:szCs w:val="24"/>
              </w:rPr>
              <w:t>.</w:t>
            </w:r>
            <w:r w:rsidR="00285AD6">
              <w:rPr>
                <w:rFonts w:asciiTheme="majorHAnsi" w:hAnsiTheme="majorHAnsi"/>
                <w:sz w:val="24"/>
                <w:szCs w:val="24"/>
              </w:rPr>
              <w:t>562</w:t>
            </w:r>
            <w:r w:rsidRPr="00922D2E">
              <w:rPr>
                <w:rFonts w:asciiTheme="majorHAnsi" w:hAnsiTheme="majorHAnsi"/>
                <w:sz w:val="24"/>
                <w:szCs w:val="24"/>
              </w:rPr>
              <w:t>,000D D x</w:t>
            </w:r>
            <w:r>
              <w:rPr>
                <w:rFonts w:asciiTheme="majorHAnsi" w:hAnsiTheme="majorHAnsi"/>
                <w:sz w:val="24"/>
                <w:szCs w:val="24"/>
              </w:rPr>
              <w:t xml:space="preserve"> </w:t>
            </w:r>
            <w:r w:rsidRPr="00922D2E">
              <w:rPr>
                <w:rFonts w:asciiTheme="majorHAnsi" w:hAnsiTheme="majorHAnsi"/>
                <w:sz w:val="24"/>
                <w:szCs w:val="24"/>
              </w:rPr>
              <w:t xml:space="preserve">30% </w:t>
            </w:r>
          </w:p>
        </w:tc>
        <w:tc>
          <w:tcPr>
            <w:tcW w:w="2126" w:type="dxa"/>
            <w:vAlign w:val="center"/>
          </w:tcPr>
          <w:p w:rsidR="00CE4A93" w:rsidRPr="005F2FF7" w:rsidRDefault="007132F3" w:rsidP="007132F3">
            <w:pPr>
              <w:jc w:val="right"/>
              <w:rPr>
                <w:b/>
                <w:bCs/>
              </w:rPr>
            </w:pPr>
            <w:r>
              <w:t>10</w:t>
            </w:r>
            <w:r w:rsidR="00CE4A93" w:rsidRPr="005F2FF7">
              <w:t>.</w:t>
            </w:r>
            <w:r>
              <w:t>6</w:t>
            </w:r>
            <w:r w:rsidR="00D619EF">
              <w:t>68</w:t>
            </w:r>
            <w:r w:rsidR="00CE4A93" w:rsidRPr="005F2FF7">
              <w:t>,</w:t>
            </w:r>
            <w:r w:rsidR="00D619EF">
              <w:t>6</w:t>
            </w:r>
            <w:r w:rsidR="00CE4A93" w:rsidRPr="005F2FF7">
              <w:t>00</w:t>
            </w:r>
          </w:p>
        </w:tc>
      </w:tr>
      <w:tr w:rsidR="00CE4A93" w:rsidRPr="005F2FF7" w:rsidTr="00055B54">
        <w:trPr>
          <w:trHeight w:val="408"/>
        </w:trPr>
        <w:tc>
          <w:tcPr>
            <w:tcW w:w="5757" w:type="dxa"/>
            <w:vAlign w:val="center"/>
          </w:tcPr>
          <w:p w:rsidR="00CE4A93" w:rsidRDefault="00CE4A93" w:rsidP="007132F3">
            <w:pPr>
              <w:jc w:val="both"/>
              <w:rPr>
                <w:rFonts w:asciiTheme="majorHAnsi" w:hAnsiTheme="majorHAnsi"/>
                <w:b/>
                <w:bCs/>
                <w:sz w:val="24"/>
                <w:szCs w:val="24"/>
              </w:rPr>
            </w:pPr>
            <w:r w:rsidRPr="005F2FF7">
              <w:rPr>
                <w:rFonts w:asciiTheme="majorHAnsi" w:hAnsiTheme="majorHAnsi"/>
                <w:b/>
                <w:bCs/>
                <w:sz w:val="24"/>
                <w:szCs w:val="24"/>
              </w:rPr>
              <w:t xml:space="preserve">Min d’impôt </w:t>
            </w:r>
            <w:r>
              <w:rPr>
                <w:rFonts w:asciiTheme="majorHAnsi" w:hAnsiTheme="majorHAnsi"/>
                <w:b/>
                <w:bCs/>
                <w:sz w:val="24"/>
                <w:szCs w:val="24"/>
              </w:rPr>
              <w:t>selon l’</w:t>
            </w:r>
            <w:r w:rsidRPr="005F2FF7">
              <w:rPr>
                <w:rFonts w:asciiTheme="majorHAnsi" w:hAnsiTheme="majorHAnsi"/>
                <w:b/>
                <w:bCs/>
                <w:sz w:val="24"/>
                <w:szCs w:val="24"/>
              </w:rPr>
              <w:t xml:space="preserve">art 12 </w:t>
            </w:r>
            <w:r>
              <w:rPr>
                <w:rFonts w:asciiTheme="majorHAnsi" w:hAnsiTheme="majorHAnsi"/>
                <w:b/>
                <w:bCs/>
                <w:sz w:val="24"/>
                <w:szCs w:val="24"/>
              </w:rPr>
              <w:t xml:space="preserve">de la </w:t>
            </w:r>
            <w:r w:rsidRPr="005F2FF7">
              <w:rPr>
                <w:rFonts w:asciiTheme="majorHAnsi" w:hAnsiTheme="majorHAnsi"/>
                <w:b/>
                <w:bCs/>
                <w:sz w:val="24"/>
                <w:szCs w:val="24"/>
              </w:rPr>
              <w:t>loi de promulgation du code IRPP et IS</w:t>
            </w:r>
            <w:r>
              <w:rPr>
                <w:rFonts w:asciiTheme="majorHAnsi" w:hAnsiTheme="majorHAnsi"/>
                <w:b/>
                <w:bCs/>
                <w:sz w:val="24"/>
                <w:szCs w:val="24"/>
              </w:rPr>
              <w:t xml:space="preserve"> = (</w:t>
            </w:r>
            <w:r w:rsidR="00D619EF">
              <w:rPr>
                <w:b/>
                <w:bCs/>
              </w:rPr>
              <w:t>2</w:t>
            </w:r>
            <w:r w:rsidR="007132F3">
              <w:rPr>
                <w:b/>
                <w:bCs/>
              </w:rPr>
              <w:t>8</w:t>
            </w:r>
            <w:r w:rsidR="00D619EF">
              <w:rPr>
                <w:b/>
                <w:bCs/>
              </w:rPr>
              <w:t xml:space="preserve">3.624,500 </w:t>
            </w:r>
            <w:r>
              <w:rPr>
                <w:rFonts w:asciiTheme="majorHAnsi" w:hAnsiTheme="majorHAnsi"/>
                <w:b/>
                <w:bCs/>
                <w:sz w:val="24"/>
                <w:szCs w:val="24"/>
              </w:rPr>
              <w:t xml:space="preserve">– </w:t>
            </w:r>
            <w:r w:rsidRPr="00CE4A93">
              <w:rPr>
                <w:b/>
                <w:bCs/>
              </w:rPr>
              <w:t>100.000,000) x 20%</w:t>
            </w:r>
            <w:r w:rsidRPr="005F2FF7">
              <w:rPr>
                <w:rFonts w:asciiTheme="majorHAnsi" w:hAnsiTheme="majorHAnsi"/>
                <w:b/>
                <w:bCs/>
                <w:sz w:val="24"/>
                <w:szCs w:val="24"/>
              </w:rPr>
              <w:t xml:space="preserve">  </w:t>
            </w:r>
          </w:p>
          <w:p w:rsidR="00CE4A93" w:rsidRPr="00AC3F8A" w:rsidRDefault="00CE4A93" w:rsidP="00D96E96">
            <w:pPr>
              <w:jc w:val="both"/>
              <w:rPr>
                <w:b/>
                <w:bCs/>
              </w:rPr>
            </w:pPr>
          </w:p>
        </w:tc>
        <w:tc>
          <w:tcPr>
            <w:tcW w:w="2126" w:type="dxa"/>
            <w:vAlign w:val="center"/>
          </w:tcPr>
          <w:p w:rsidR="00CE4A93" w:rsidRPr="005F2FF7" w:rsidRDefault="00CE4A93" w:rsidP="007132F3">
            <w:pPr>
              <w:jc w:val="right"/>
              <w:rPr>
                <w:b/>
                <w:bCs/>
              </w:rPr>
            </w:pPr>
            <w:r>
              <w:rPr>
                <w:b/>
                <w:bCs/>
              </w:rPr>
              <w:t>3</w:t>
            </w:r>
            <w:r w:rsidR="007132F3">
              <w:rPr>
                <w:b/>
                <w:bCs/>
              </w:rPr>
              <w:t>6</w:t>
            </w:r>
            <w:r>
              <w:rPr>
                <w:b/>
                <w:bCs/>
              </w:rPr>
              <w:t>.</w:t>
            </w:r>
            <w:r w:rsidR="00D619EF">
              <w:rPr>
                <w:b/>
                <w:bCs/>
              </w:rPr>
              <w:t>72</w:t>
            </w:r>
            <w:r>
              <w:rPr>
                <w:b/>
                <w:bCs/>
              </w:rPr>
              <w:t>4</w:t>
            </w:r>
            <w:r w:rsidRPr="005F2FF7">
              <w:rPr>
                <w:b/>
                <w:bCs/>
              </w:rPr>
              <w:t>,</w:t>
            </w:r>
            <w:r>
              <w:rPr>
                <w:b/>
                <w:bCs/>
              </w:rPr>
              <w:t>900</w:t>
            </w:r>
          </w:p>
        </w:tc>
      </w:tr>
      <w:tr w:rsidR="00CE4A93" w:rsidRPr="005F2FF7" w:rsidTr="00055B54">
        <w:trPr>
          <w:trHeight w:val="408"/>
        </w:trPr>
        <w:tc>
          <w:tcPr>
            <w:tcW w:w="5757" w:type="dxa"/>
            <w:vAlign w:val="center"/>
          </w:tcPr>
          <w:p w:rsidR="00CE4A93" w:rsidRPr="00922D2E" w:rsidRDefault="00CE4A93" w:rsidP="009571A0">
            <w:pPr>
              <w:jc w:val="both"/>
              <w:rPr>
                <w:rFonts w:asciiTheme="majorHAnsi" w:hAnsiTheme="majorHAnsi"/>
                <w:sz w:val="24"/>
                <w:szCs w:val="24"/>
              </w:rPr>
            </w:pPr>
            <w:r w:rsidRPr="00922D2E">
              <w:rPr>
                <w:rFonts w:asciiTheme="majorHAnsi" w:hAnsiTheme="majorHAnsi"/>
                <w:sz w:val="24"/>
                <w:szCs w:val="24"/>
              </w:rPr>
              <w:t>Min impôt</w:t>
            </w:r>
            <w:r>
              <w:rPr>
                <w:rFonts w:asciiTheme="majorHAnsi" w:hAnsiTheme="majorHAnsi"/>
                <w:sz w:val="24"/>
                <w:szCs w:val="24"/>
              </w:rPr>
              <w:t xml:space="preserve"> art 44 code IRPP et IS</w:t>
            </w:r>
            <w:r w:rsidRPr="00922D2E">
              <w:rPr>
                <w:rFonts w:asciiTheme="majorHAnsi" w:hAnsiTheme="majorHAnsi"/>
                <w:sz w:val="24"/>
                <w:szCs w:val="24"/>
              </w:rPr>
              <w:t xml:space="preserve"> (0.1% CA local </w:t>
            </w:r>
            <w:r>
              <w:rPr>
                <w:rFonts w:asciiTheme="majorHAnsi" w:hAnsiTheme="majorHAnsi"/>
                <w:sz w:val="24"/>
                <w:szCs w:val="24"/>
              </w:rPr>
              <w:t>TTC</w:t>
            </w:r>
            <w:r w:rsidRPr="00922D2E">
              <w:rPr>
                <w:rFonts w:asciiTheme="majorHAnsi" w:hAnsiTheme="majorHAnsi"/>
                <w:sz w:val="24"/>
                <w:szCs w:val="24"/>
              </w:rPr>
              <w:t xml:space="preserve">) : </w:t>
            </w:r>
            <w:r w:rsidR="0090697B">
              <w:rPr>
                <w:rFonts w:asciiTheme="majorHAnsi" w:hAnsiTheme="majorHAnsi"/>
                <w:sz w:val="24"/>
                <w:szCs w:val="24"/>
              </w:rPr>
              <w:t>Absence d’information</w:t>
            </w:r>
            <w:r w:rsidR="008E1A8F">
              <w:rPr>
                <w:rFonts w:asciiTheme="majorHAnsi" w:hAnsiTheme="majorHAnsi"/>
                <w:sz w:val="24"/>
                <w:szCs w:val="24"/>
              </w:rPr>
              <w:t xml:space="preserve"> (absence d’indication)</w:t>
            </w:r>
          </w:p>
        </w:tc>
        <w:tc>
          <w:tcPr>
            <w:tcW w:w="2126" w:type="dxa"/>
            <w:vAlign w:val="center"/>
          </w:tcPr>
          <w:p w:rsidR="00CE4A93" w:rsidRPr="005F2FF7" w:rsidRDefault="0090697B" w:rsidP="0090697B">
            <w:pPr>
              <w:jc w:val="center"/>
            </w:pPr>
            <w:r>
              <w:t>-</w:t>
            </w:r>
          </w:p>
        </w:tc>
      </w:tr>
    </w:tbl>
    <w:p w:rsidR="00302645" w:rsidRDefault="00302645" w:rsidP="00DD1884">
      <w:pPr>
        <w:spacing w:before="120" w:after="120" w:line="360" w:lineRule="auto"/>
        <w:jc w:val="both"/>
        <w:rPr>
          <w:rFonts w:asciiTheme="majorHAnsi" w:hAnsiTheme="majorHAnsi"/>
          <w:sz w:val="24"/>
          <w:szCs w:val="24"/>
        </w:rPr>
      </w:pPr>
      <w:r w:rsidRPr="00922D2E">
        <w:rPr>
          <w:rFonts w:asciiTheme="majorHAnsi" w:hAnsiTheme="majorHAnsi"/>
          <w:sz w:val="24"/>
          <w:szCs w:val="24"/>
        </w:rPr>
        <w:lastRenderedPageBreak/>
        <w:t>Donc à retenir</w:t>
      </w:r>
      <w:r>
        <w:rPr>
          <w:rFonts w:asciiTheme="majorHAnsi" w:hAnsiTheme="majorHAnsi"/>
          <w:sz w:val="24"/>
          <w:szCs w:val="24"/>
        </w:rPr>
        <w:t xml:space="preserve"> le montant de</w:t>
      </w:r>
      <w:r w:rsidRPr="00922D2E">
        <w:rPr>
          <w:rFonts w:asciiTheme="majorHAnsi" w:hAnsiTheme="majorHAnsi"/>
          <w:sz w:val="24"/>
          <w:szCs w:val="24"/>
        </w:rPr>
        <w:t xml:space="preserve"> </w:t>
      </w:r>
      <w:r w:rsidR="00D619EF" w:rsidRPr="00D619EF">
        <w:rPr>
          <w:b/>
          <w:bCs/>
          <w:i/>
          <w:iCs/>
          <w:sz w:val="24"/>
          <w:szCs w:val="24"/>
        </w:rPr>
        <w:t>3</w:t>
      </w:r>
      <w:r w:rsidR="007132F3">
        <w:rPr>
          <w:b/>
          <w:bCs/>
          <w:i/>
          <w:iCs/>
          <w:sz w:val="24"/>
          <w:szCs w:val="24"/>
        </w:rPr>
        <w:t>6</w:t>
      </w:r>
      <w:r w:rsidR="00D619EF" w:rsidRPr="00D619EF">
        <w:rPr>
          <w:b/>
          <w:bCs/>
          <w:i/>
          <w:iCs/>
          <w:sz w:val="24"/>
          <w:szCs w:val="24"/>
        </w:rPr>
        <w:t>.724,900</w:t>
      </w:r>
      <w:r w:rsidRPr="0090697B">
        <w:rPr>
          <w:b/>
          <w:bCs/>
          <w:i/>
          <w:iCs/>
          <w:sz w:val="24"/>
          <w:szCs w:val="24"/>
        </w:rPr>
        <w:t xml:space="preserve"> TND</w:t>
      </w:r>
      <w:r>
        <w:t xml:space="preserve"> </w:t>
      </w:r>
      <w:r w:rsidRPr="00922D2E">
        <w:rPr>
          <w:rFonts w:asciiTheme="majorHAnsi" w:hAnsiTheme="majorHAnsi"/>
          <w:sz w:val="24"/>
          <w:szCs w:val="24"/>
        </w:rPr>
        <w:t xml:space="preserve">comme IS dû par la société </w:t>
      </w:r>
      <w:r w:rsidRPr="00C90377">
        <w:rPr>
          <w:rFonts w:asciiTheme="majorHAnsi" w:hAnsiTheme="majorHAnsi"/>
          <w:b/>
          <w:bCs/>
          <w:i/>
          <w:iCs/>
          <w:sz w:val="24"/>
          <w:szCs w:val="24"/>
        </w:rPr>
        <w:t>« </w:t>
      </w:r>
      <w:r w:rsidR="0090697B">
        <w:rPr>
          <w:rFonts w:asciiTheme="majorHAnsi" w:hAnsiTheme="majorHAnsi"/>
          <w:b/>
          <w:bCs/>
          <w:i/>
          <w:iCs/>
          <w:sz w:val="24"/>
          <w:szCs w:val="24"/>
        </w:rPr>
        <w:t>ABC</w:t>
      </w:r>
      <w:r w:rsidRPr="00C90377">
        <w:rPr>
          <w:rFonts w:asciiTheme="majorHAnsi" w:hAnsiTheme="majorHAnsi"/>
          <w:b/>
          <w:bCs/>
          <w:i/>
          <w:iCs/>
          <w:sz w:val="24"/>
          <w:szCs w:val="24"/>
        </w:rPr>
        <w:t> »</w:t>
      </w:r>
      <w:r w:rsidRPr="00C90377">
        <w:rPr>
          <w:rFonts w:asciiTheme="majorHAnsi" w:hAnsiTheme="majorHAnsi"/>
          <w:sz w:val="24"/>
          <w:szCs w:val="24"/>
        </w:rPr>
        <w:t xml:space="preserve"> </w:t>
      </w:r>
      <w:r w:rsidRPr="00922D2E">
        <w:rPr>
          <w:rFonts w:asciiTheme="majorHAnsi" w:hAnsiTheme="majorHAnsi"/>
          <w:sz w:val="24"/>
          <w:szCs w:val="24"/>
        </w:rPr>
        <w:t>au titre de</w:t>
      </w:r>
      <w:r>
        <w:rPr>
          <w:rFonts w:asciiTheme="majorHAnsi" w:hAnsiTheme="majorHAnsi"/>
          <w:sz w:val="24"/>
          <w:szCs w:val="24"/>
        </w:rPr>
        <w:t xml:space="preserve"> l’année</w:t>
      </w:r>
      <w:r w:rsidRPr="00922D2E">
        <w:rPr>
          <w:rFonts w:asciiTheme="majorHAnsi" w:hAnsiTheme="majorHAnsi"/>
          <w:sz w:val="24"/>
          <w:szCs w:val="24"/>
        </w:rPr>
        <w:t xml:space="preserve"> 201</w:t>
      </w:r>
      <w:r w:rsidR="0090697B">
        <w:rPr>
          <w:rFonts w:asciiTheme="majorHAnsi" w:hAnsiTheme="majorHAnsi"/>
          <w:sz w:val="24"/>
          <w:szCs w:val="24"/>
        </w:rPr>
        <w:t>2</w:t>
      </w:r>
      <w:r>
        <w:rPr>
          <w:rFonts w:asciiTheme="majorHAnsi" w:hAnsiTheme="majorHAnsi"/>
          <w:sz w:val="24"/>
          <w:szCs w:val="24"/>
        </w:rPr>
        <w:t xml:space="preserve"> </w:t>
      </w:r>
      <w:r w:rsidR="0090697B">
        <w:rPr>
          <w:rFonts w:asciiTheme="majorHAnsi" w:hAnsiTheme="majorHAnsi"/>
          <w:sz w:val="24"/>
          <w:szCs w:val="24"/>
        </w:rPr>
        <w:t xml:space="preserve">déterminé selon le minimum </w:t>
      </w:r>
      <w:r w:rsidR="0090697B" w:rsidRPr="0090697B">
        <w:rPr>
          <w:rFonts w:asciiTheme="majorHAnsi" w:hAnsiTheme="majorHAnsi"/>
          <w:sz w:val="24"/>
          <w:szCs w:val="24"/>
        </w:rPr>
        <w:t xml:space="preserve">d’impôt </w:t>
      </w:r>
      <w:r w:rsidR="00DD1884">
        <w:rPr>
          <w:rFonts w:asciiTheme="majorHAnsi" w:hAnsiTheme="majorHAnsi"/>
          <w:sz w:val="24"/>
          <w:szCs w:val="24"/>
        </w:rPr>
        <w:t xml:space="preserve">prévu par </w:t>
      </w:r>
      <w:r w:rsidR="0090697B" w:rsidRPr="0090697B">
        <w:rPr>
          <w:rFonts w:asciiTheme="majorHAnsi" w:hAnsiTheme="majorHAnsi"/>
          <w:sz w:val="24"/>
          <w:szCs w:val="24"/>
        </w:rPr>
        <w:t xml:space="preserve">l’art 12 de la loi </w:t>
      </w:r>
      <w:r w:rsidR="00D619EF">
        <w:rPr>
          <w:rFonts w:asciiTheme="majorHAnsi" w:hAnsiTheme="majorHAnsi"/>
          <w:sz w:val="24"/>
          <w:szCs w:val="24"/>
        </w:rPr>
        <w:t>n°89-114 du 30 novembre 1989, portant promulgation du code d’IRPP et d’IS</w:t>
      </w:r>
      <w:r w:rsidR="0090697B">
        <w:rPr>
          <w:rFonts w:asciiTheme="majorHAnsi" w:hAnsiTheme="majorHAnsi"/>
          <w:sz w:val="24"/>
          <w:szCs w:val="24"/>
        </w:rPr>
        <w:t>.</w:t>
      </w:r>
    </w:p>
    <w:p w:rsidR="0053117D" w:rsidRDefault="00A26FBC" w:rsidP="007132F3">
      <w:pPr>
        <w:spacing w:before="120" w:after="120" w:line="360" w:lineRule="auto"/>
        <w:jc w:val="both"/>
        <w:rPr>
          <w:rFonts w:asciiTheme="majorHAnsi" w:hAnsiTheme="majorHAnsi"/>
          <w:sz w:val="24"/>
          <w:szCs w:val="24"/>
          <w:rtl/>
        </w:rPr>
      </w:pPr>
      <w:r w:rsidRPr="00A26FBC">
        <w:rPr>
          <w:rFonts w:asciiTheme="majorHAnsi" w:hAnsiTheme="majorHAnsi"/>
          <w:b/>
          <w:bCs/>
          <w:i/>
          <w:iCs/>
          <w:sz w:val="24"/>
          <w:szCs w:val="24"/>
        </w:rPr>
        <w:t>Remarque :</w:t>
      </w:r>
      <w:r>
        <w:rPr>
          <w:rFonts w:asciiTheme="majorHAnsi" w:hAnsiTheme="majorHAnsi"/>
          <w:sz w:val="24"/>
          <w:szCs w:val="24"/>
        </w:rPr>
        <w:t xml:space="preserve"> la gestion </w:t>
      </w:r>
      <w:r w:rsidRPr="008432EC">
        <w:rPr>
          <w:rFonts w:asciiTheme="majorHAnsi" w:hAnsiTheme="majorHAnsi"/>
          <w:b/>
          <w:bCs/>
          <w:i/>
          <w:iCs/>
          <w:sz w:val="24"/>
          <w:szCs w:val="24"/>
        </w:rPr>
        <w:t>fiscale</w:t>
      </w:r>
      <w:r w:rsidR="007C565F" w:rsidRPr="008432EC">
        <w:rPr>
          <w:rFonts w:asciiTheme="majorHAnsi" w:hAnsiTheme="majorHAnsi"/>
          <w:b/>
          <w:bCs/>
          <w:i/>
          <w:iCs/>
          <w:sz w:val="24"/>
          <w:szCs w:val="24"/>
        </w:rPr>
        <w:t xml:space="preserve"> optimale</w:t>
      </w:r>
      <w:r>
        <w:rPr>
          <w:rFonts w:asciiTheme="majorHAnsi" w:hAnsiTheme="majorHAnsi"/>
          <w:sz w:val="24"/>
          <w:szCs w:val="24"/>
        </w:rPr>
        <w:t xml:space="preserve"> pour l’entreprise </w:t>
      </w:r>
      <w:r w:rsidR="007C565F">
        <w:rPr>
          <w:rFonts w:asciiTheme="majorHAnsi" w:hAnsiTheme="majorHAnsi"/>
          <w:sz w:val="24"/>
          <w:szCs w:val="24"/>
        </w:rPr>
        <w:t>consiste à</w:t>
      </w:r>
      <w:r w:rsidR="008432EC">
        <w:rPr>
          <w:rFonts w:asciiTheme="majorHAnsi" w:hAnsiTheme="majorHAnsi"/>
          <w:sz w:val="24"/>
          <w:szCs w:val="24"/>
        </w:rPr>
        <w:t> :</w:t>
      </w:r>
    </w:p>
    <w:p w:rsidR="00A26FBC" w:rsidRDefault="007C565F" w:rsidP="008432EC">
      <w:pPr>
        <w:pStyle w:val="Paragraphedeliste"/>
        <w:numPr>
          <w:ilvl w:val="0"/>
          <w:numId w:val="35"/>
        </w:numPr>
        <w:spacing w:before="120" w:after="120" w:line="360" w:lineRule="auto"/>
        <w:jc w:val="both"/>
        <w:rPr>
          <w:rFonts w:ascii="Cambria" w:eastAsia="Calibri" w:hAnsi="Cambria" w:cs="Arial"/>
          <w:sz w:val="24"/>
          <w:szCs w:val="24"/>
        </w:rPr>
      </w:pPr>
      <w:r>
        <w:rPr>
          <w:rFonts w:asciiTheme="majorHAnsi" w:hAnsiTheme="majorHAnsi"/>
          <w:sz w:val="24"/>
          <w:szCs w:val="24"/>
        </w:rPr>
        <w:t xml:space="preserve"> </w:t>
      </w:r>
      <w:r w:rsidR="0053117D">
        <w:rPr>
          <w:rFonts w:asciiTheme="majorHAnsi" w:hAnsiTheme="majorHAnsi"/>
          <w:sz w:val="24"/>
          <w:szCs w:val="24"/>
        </w:rPr>
        <w:t>Investir</w:t>
      </w:r>
      <w:r w:rsidR="00A26FBC">
        <w:rPr>
          <w:rFonts w:asciiTheme="majorHAnsi" w:hAnsiTheme="majorHAnsi"/>
          <w:sz w:val="24"/>
          <w:szCs w:val="24"/>
        </w:rPr>
        <w:t xml:space="preserve"> </w:t>
      </w:r>
      <w:r w:rsidR="00A26FBC" w:rsidRPr="008432EC">
        <w:rPr>
          <w:rFonts w:ascii="Cambria" w:eastAsia="Calibri" w:hAnsi="Cambria" w:cs="Arial"/>
          <w:sz w:val="24"/>
          <w:szCs w:val="24"/>
        </w:rPr>
        <w:t>dans le fonds d’amorçage jusqu'à un montant maximum de 2</w:t>
      </w:r>
      <w:r w:rsidR="007132F3" w:rsidRPr="008432EC">
        <w:rPr>
          <w:rFonts w:ascii="Cambria" w:eastAsia="Calibri" w:hAnsi="Cambria" w:cs="Arial"/>
          <w:sz w:val="24"/>
          <w:szCs w:val="24"/>
        </w:rPr>
        <w:t>83</w:t>
      </w:r>
      <w:r w:rsidR="00A26FBC" w:rsidRPr="008432EC">
        <w:rPr>
          <w:rFonts w:ascii="Cambria" w:eastAsia="Calibri" w:hAnsi="Cambria" w:cs="Arial"/>
          <w:sz w:val="24"/>
          <w:szCs w:val="24"/>
        </w:rPr>
        <w:t>.</w:t>
      </w:r>
      <w:r w:rsidR="007132F3" w:rsidRPr="008432EC">
        <w:rPr>
          <w:rFonts w:ascii="Cambria" w:eastAsia="Calibri" w:hAnsi="Cambria" w:cs="Arial"/>
          <w:sz w:val="24"/>
          <w:szCs w:val="24"/>
        </w:rPr>
        <w:t>62</w:t>
      </w:r>
      <w:r w:rsidR="00A26FBC" w:rsidRPr="008432EC">
        <w:rPr>
          <w:rFonts w:ascii="Cambria" w:eastAsia="Calibri" w:hAnsi="Cambria" w:cs="Arial"/>
          <w:sz w:val="24"/>
          <w:szCs w:val="24"/>
        </w:rPr>
        <w:t>4,500 TND.</w:t>
      </w:r>
    </w:p>
    <w:p w:rsidR="008432EC" w:rsidRPr="008432EC" w:rsidRDefault="00924530" w:rsidP="00924530">
      <w:pPr>
        <w:pStyle w:val="Paragraphedeliste"/>
        <w:spacing w:before="120" w:after="120" w:line="360" w:lineRule="auto"/>
        <w:ind w:hanging="436"/>
        <w:jc w:val="both"/>
        <w:rPr>
          <w:rFonts w:ascii="Cambria" w:eastAsia="Calibri" w:hAnsi="Cambria" w:cs="Arial"/>
          <w:sz w:val="24"/>
          <w:szCs w:val="24"/>
          <w:rtl/>
        </w:rPr>
      </w:pPr>
      <w:r w:rsidRPr="00924530">
        <w:rPr>
          <w:rFonts w:ascii="Times New Roman" w:eastAsia="Calibri" w:hAnsi="Times New Roman" w:cs="Times New Roman"/>
          <w:b/>
          <w:bCs/>
          <w:sz w:val="24"/>
          <w:szCs w:val="24"/>
        </w:rPr>
        <w:t>→</w:t>
      </w:r>
      <w:r w:rsidR="008432EC">
        <w:rPr>
          <w:rFonts w:ascii="Cambria" w:eastAsia="Calibri" w:hAnsi="Cambria" w:cs="Arial"/>
          <w:sz w:val="24"/>
          <w:szCs w:val="24"/>
        </w:rPr>
        <w:t>Toutefois, la société peut opter</w:t>
      </w:r>
      <w:r>
        <w:rPr>
          <w:rFonts w:ascii="Cambria" w:eastAsia="Calibri" w:hAnsi="Cambria" w:cs="Arial"/>
          <w:sz w:val="24"/>
          <w:szCs w:val="24"/>
        </w:rPr>
        <w:t xml:space="preserve"> entre autre</w:t>
      </w:r>
      <w:r w:rsidR="008432EC">
        <w:rPr>
          <w:rFonts w:ascii="Cambria" w:eastAsia="Calibri" w:hAnsi="Cambria" w:cs="Arial"/>
          <w:sz w:val="24"/>
          <w:szCs w:val="24"/>
        </w:rPr>
        <w:t xml:space="preserve"> </w:t>
      </w:r>
      <w:r>
        <w:rPr>
          <w:rFonts w:ascii="Cambria" w:eastAsia="Calibri" w:hAnsi="Cambria" w:cs="Arial"/>
          <w:sz w:val="24"/>
          <w:szCs w:val="24"/>
        </w:rPr>
        <w:t>à</w:t>
      </w:r>
      <w:r w:rsidR="008432EC">
        <w:rPr>
          <w:rFonts w:ascii="Cambria" w:eastAsia="Calibri" w:hAnsi="Cambria" w:cs="Arial"/>
          <w:sz w:val="24"/>
          <w:szCs w:val="24"/>
        </w:rPr>
        <w:t xml:space="preserve"> ce genre d’investissement :</w:t>
      </w:r>
    </w:p>
    <w:p w:rsidR="0053117D" w:rsidRPr="008432EC" w:rsidRDefault="0053117D" w:rsidP="008432EC">
      <w:pPr>
        <w:pStyle w:val="Paragraphedeliste"/>
        <w:numPr>
          <w:ilvl w:val="0"/>
          <w:numId w:val="35"/>
        </w:numPr>
        <w:spacing w:before="120" w:after="120" w:line="360" w:lineRule="auto"/>
        <w:jc w:val="both"/>
        <w:rPr>
          <w:rFonts w:ascii="Cambria" w:eastAsia="Calibri" w:hAnsi="Cambria" w:cs="Arial"/>
          <w:sz w:val="24"/>
          <w:szCs w:val="24"/>
        </w:rPr>
      </w:pPr>
      <w:r w:rsidRPr="008432EC">
        <w:rPr>
          <w:rFonts w:ascii="Cambria" w:eastAsia="Calibri" w:hAnsi="Cambria" w:cs="Arial"/>
          <w:sz w:val="24"/>
          <w:szCs w:val="24"/>
        </w:rPr>
        <w:t>Investir dans des activités qui permettent un équilibre dans le portefeuille d’activité de l’entreprise (diagnostic stratégique d’un portefeuille d’activité)</w:t>
      </w:r>
    </w:p>
    <w:p w:rsidR="0053117D" w:rsidRDefault="0053117D" w:rsidP="008432EC">
      <w:pPr>
        <w:pStyle w:val="Paragraphedeliste"/>
        <w:numPr>
          <w:ilvl w:val="0"/>
          <w:numId w:val="35"/>
        </w:numPr>
        <w:spacing w:before="120" w:after="120" w:line="360" w:lineRule="auto"/>
        <w:jc w:val="both"/>
        <w:rPr>
          <w:rFonts w:asciiTheme="majorHAnsi" w:hAnsiTheme="majorHAnsi"/>
          <w:sz w:val="24"/>
          <w:szCs w:val="24"/>
        </w:rPr>
      </w:pPr>
      <w:r w:rsidRPr="008432EC">
        <w:rPr>
          <w:rFonts w:ascii="Cambria" w:eastAsia="Calibri" w:hAnsi="Cambria" w:cs="Arial"/>
          <w:sz w:val="24"/>
          <w:szCs w:val="24"/>
        </w:rPr>
        <w:t>Investir</w:t>
      </w:r>
      <w:r>
        <w:rPr>
          <w:rFonts w:asciiTheme="majorHAnsi" w:hAnsiTheme="majorHAnsi"/>
          <w:sz w:val="24"/>
          <w:szCs w:val="24"/>
        </w:rPr>
        <w:t xml:space="preserve"> dans une société qui permet le changement du périmètre de consolidation</w:t>
      </w:r>
      <w:r w:rsidR="008432EC">
        <w:rPr>
          <w:rFonts w:asciiTheme="majorHAnsi" w:hAnsiTheme="majorHAnsi"/>
          <w:sz w:val="24"/>
          <w:szCs w:val="24"/>
        </w:rPr>
        <w:t>….</w:t>
      </w:r>
    </w:p>
    <w:p w:rsidR="00553731" w:rsidRPr="00055B54" w:rsidRDefault="00C90377" w:rsidP="00FB4924">
      <w:pPr>
        <w:spacing w:before="120" w:after="120" w:line="360" w:lineRule="auto"/>
        <w:jc w:val="both"/>
        <w:rPr>
          <w:rFonts w:asciiTheme="majorHAnsi" w:hAnsiTheme="majorHAnsi"/>
          <w:b/>
          <w:bCs/>
          <w:sz w:val="24"/>
          <w:szCs w:val="24"/>
        </w:rPr>
      </w:pPr>
      <w:r w:rsidRPr="00C90377">
        <w:rPr>
          <w:rFonts w:asciiTheme="majorHAnsi" w:hAnsiTheme="majorHAnsi"/>
          <w:b/>
          <w:bCs/>
          <w:sz w:val="24"/>
          <w:szCs w:val="24"/>
        </w:rPr>
        <w:t>II</w:t>
      </w:r>
      <w:r>
        <w:rPr>
          <w:rFonts w:asciiTheme="majorHAnsi" w:hAnsiTheme="majorHAnsi"/>
          <w:sz w:val="24"/>
          <w:szCs w:val="24"/>
        </w:rPr>
        <w:t>-</w:t>
      </w:r>
      <w:r w:rsidR="00553731">
        <w:rPr>
          <w:rFonts w:asciiTheme="majorHAnsi" w:hAnsiTheme="majorHAnsi"/>
          <w:sz w:val="24"/>
          <w:szCs w:val="24"/>
        </w:rPr>
        <w:t xml:space="preserve"> </w:t>
      </w:r>
      <w:r w:rsidR="00553731" w:rsidRPr="00055B54">
        <w:rPr>
          <w:rFonts w:asciiTheme="majorHAnsi" w:hAnsiTheme="majorHAnsi"/>
          <w:b/>
          <w:bCs/>
          <w:sz w:val="24"/>
          <w:szCs w:val="24"/>
        </w:rPr>
        <w:t>note succincte</w:t>
      </w:r>
      <w:r w:rsidR="00553731" w:rsidRPr="00055B54">
        <w:rPr>
          <w:rFonts w:ascii="ArialMT" w:hAnsi="ArialMT" w:cs="ArialMT"/>
          <w:b/>
          <w:bCs/>
          <w:sz w:val="20"/>
          <w:szCs w:val="20"/>
        </w:rPr>
        <w:t xml:space="preserve"> </w:t>
      </w:r>
      <w:r w:rsidRPr="00055B54">
        <w:rPr>
          <w:rFonts w:asciiTheme="majorHAnsi" w:hAnsiTheme="majorHAnsi"/>
          <w:b/>
          <w:bCs/>
          <w:sz w:val="24"/>
          <w:szCs w:val="24"/>
        </w:rPr>
        <w:t>sur</w:t>
      </w:r>
      <w:r w:rsidR="00553731" w:rsidRPr="00055B54">
        <w:rPr>
          <w:rFonts w:ascii="ArialMT" w:hAnsi="ArialMT" w:cs="ArialMT"/>
          <w:b/>
          <w:bCs/>
          <w:sz w:val="20"/>
          <w:szCs w:val="20"/>
        </w:rPr>
        <w:t xml:space="preserve"> </w:t>
      </w:r>
      <w:r w:rsidR="00553731" w:rsidRPr="00055B54">
        <w:rPr>
          <w:rFonts w:asciiTheme="majorHAnsi" w:hAnsiTheme="majorHAnsi"/>
          <w:b/>
          <w:bCs/>
          <w:sz w:val="24"/>
          <w:szCs w:val="24"/>
        </w:rPr>
        <w:t xml:space="preserve">le traitement fiscal approprié mis à la charge </w:t>
      </w:r>
      <w:r w:rsidR="003F556D" w:rsidRPr="00055B54">
        <w:rPr>
          <w:rFonts w:asciiTheme="majorHAnsi" w:hAnsiTheme="majorHAnsi"/>
          <w:b/>
          <w:bCs/>
          <w:sz w:val="24"/>
          <w:szCs w:val="24"/>
        </w:rPr>
        <w:t xml:space="preserve">de la société </w:t>
      </w:r>
      <w:r w:rsidR="003F556D" w:rsidRPr="00055B54">
        <w:rPr>
          <w:rFonts w:asciiTheme="majorHAnsi" w:hAnsiTheme="majorHAnsi"/>
          <w:b/>
          <w:bCs/>
          <w:i/>
          <w:iCs/>
          <w:sz w:val="24"/>
          <w:szCs w:val="24"/>
        </w:rPr>
        <w:t>« </w:t>
      </w:r>
      <w:r w:rsidR="00FB4924">
        <w:rPr>
          <w:rFonts w:asciiTheme="majorHAnsi" w:hAnsiTheme="majorHAnsi"/>
          <w:b/>
          <w:bCs/>
          <w:i/>
          <w:iCs/>
          <w:sz w:val="24"/>
          <w:szCs w:val="24"/>
        </w:rPr>
        <w:t>ABC</w:t>
      </w:r>
      <w:r w:rsidR="003F556D" w:rsidRPr="00055B54">
        <w:rPr>
          <w:rFonts w:asciiTheme="majorHAnsi" w:hAnsiTheme="majorHAnsi"/>
          <w:b/>
          <w:bCs/>
          <w:i/>
          <w:iCs/>
          <w:sz w:val="24"/>
          <w:szCs w:val="24"/>
        </w:rPr>
        <w:t xml:space="preserve"> » </w:t>
      </w:r>
      <w:r w:rsidR="00553731" w:rsidRPr="00055B54">
        <w:rPr>
          <w:rFonts w:asciiTheme="majorHAnsi" w:hAnsiTheme="majorHAnsi"/>
          <w:b/>
          <w:bCs/>
          <w:sz w:val="24"/>
          <w:szCs w:val="24"/>
        </w:rPr>
        <w:t xml:space="preserve">concernant </w:t>
      </w:r>
      <w:r w:rsidR="003F556D" w:rsidRPr="00055B54">
        <w:rPr>
          <w:rFonts w:asciiTheme="majorHAnsi" w:hAnsiTheme="majorHAnsi"/>
          <w:b/>
          <w:bCs/>
          <w:sz w:val="24"/>
          <w:szCs w:val="24"/>
        </w:rPr>
        <w:t>les</w:t>
      </w:r>
      <w:r w:rsidR="00553731" w:rsidRPr="00055B54">
        <w:rPr>
          <w:rFonts w:asciiTheme="majorHAnsi" w:hAnsiTheme="majorHAnsi"/>
          <w:b/>
          <w:bCs/>
          <w:sz w:val="24"/>
          <w:szCs w:val="24"/>
        </w:rPr>
        <w:t xml:space="preserve"> opération</w:t>
      </w:r>
      <w:r w:rsidR="003F556D" w:rsidRPr="00055B54">
        <w:rPr>
          <w:rFonts w:asciiTheme="majorHAnsi" w:hAnsiTheme="majorHAnsi"/>
          <w:b/>
          <w:bCs/>
          <w:sz w:val="24"/>
          <w:szCs w:val="24"/>
        </w:rPr>
        <w:t xml:space="preserve">s </w:t>
      </w:r>
      <w:r w:rsidRPr="00055B54">
        <w:rPr>
          <w:rFonts w:asciiTheme="majorHAnsi" w:hAnsiTheme="majorHAnsi"/>
          <w:b/>
          <w:bCs/>
          <w:sz w:val="24"/>
          <w:szCs w:val="24"/>
        </w:rPr>
        <w:t>effectuées</w:t>
      </w:r>
      <w:r w:rsidR="00553731" w:rsidRPr="00055B54">
        <w:rPr>
          <w:rFonts w:asciiTheme="majorHAnsi" w:hAnsiTheme="majorHAnsi"/>
          <w:b/>
          <w:bCs/>
          <w:sz w:val="24"/>
          <w:szCs w:val="24"/>
        </w:rPr>
        <w:t xml:space="preserve"> sachant que le paiement effectif de ces montants a eu lieu au cours de l’année 201</w:t>
      </w:r>
      <w:r w:rsidR="00FB4924">
        <w:rPr>
          <w:rFonts w:asciiTheme="majorHAnsi" w:hAnsiTheme="majorHAnsi"/>
          <w:b/>
          <w:bCs/>
          <w:sz w:val="24"/>
          <w:szCs w:val="24"/>
        </w:rPr>
        <w:t>2</w:t>
      </w:r>
      <w:r w:rsidR="00553731" w:rsidRPr="00055B54">
        <w:rPr>
          <w:rFonts w:asciiTheme="majorHAnsi" w:hAnsiTheme="majorHAnsi"/>
          <w:b/>
          <w:bCs/>
          <w:sz w:val="24"/>
          <w:szCs w:val="24"/>
        </w:rPr>
        <w:t xml:space="preserve"> ?</w:t>
      </w:r>
    </w:p>
    <w:p w:rsidR="00C8242D" w:rsidRDefault="00FB4924" w:rsidP="00C8242D">
      <w:pPr>
        <w:pStyle w:val="Paragraphedeliste"/>
        <w:numPr>
          <w:ilvl w:val="0"/>
          <w:numId w:val="35"/>
        </w:numPr>
        <w:spacing w:before="120" w:after="120" w:line="360" w:lineRule="auto"/>
        <w:jc w:val="both"/>
        <w:rPr>
          <w:rFonts w:asciiTheme="majorHAnsi" w:hAnsiTheme="majorHAnsi"/>
          <w:b/>
          <w:bCs/>
          <w:i/>
          <w:iCs/>
          <w:sz w:val="24"/>
          <w:szCs w:val="24"/>
        </w:rPr>
      </w:pPr>
      <w:r>
        <w:rPr>
          <w:rFonts w:asciiTheme="majorHAnsi" w:hAnsiTheme="majorHAnsi"/>
          <w:b/>
          <w:bCs/>
          <w:i/>
          <w:iCs/>
          <w:sz w:val="24"/>
          <w:szCs w:val="24"/>
        </w:rPr>
        <w:t>Convention réalisée avec la société Japonaise</w:t>
      </w:r>
    </w:p>
    <w:p w:rsidR="00FB4924" w:rsidRPr="00FB4924" w:rsidRDefault="00FB4924" w:rsidP="00FB4924">
      <w:pPr>
        <w:tabs>
          <w:tab w:val="left" w:pos="709"/>
        </w:tabs>
        <w:spacing w:before="120" w:after="120" w:line="360" w:lineRule="auto"/>
        <w:ind w:left="360"/>
        <w:jc w:val="both"/>
        <w:rPr>
          <w:rFonts w:asciiTheme="majorHAnsi" w:hAnsiTheme="majorHAnsi"/>
          <w:b/>
          <w:bCs/>
          <w:i/>
          <w:iCs/>
          <w:sz w:val="24"/>
          <w:szCs w:val="24"/>
        </w:rPr>
      </w:pPr>
      <w:r w:rsidRPr="00FB4924">
        <w:rPr>
          <w:rFonts w:asciiTheme="majorHAnsi" w:hAnsiTheme="majorHAnsi"/>
          <w:b/>
          <w:bCs/>
          <w:i/>
          <w:iCs/>
          <w:sz w:val="24"/>
          <w:szCs w:val="24"/>
        </w:rPr>
        <w:t xml:space="preserve">En matière </w:t>
      </w:r>
      <w:r>
        <w:rPr>
          <w:rFonts w:asciiTheme="majorHAnsi" w:hAnsiTheme="majorHAnsi"/>
          <w:b/>
          <w:bCs/>
          <w:i/>
          <w:iCs/>
          <w:sz w:val="24"/>
          <w:szCs w:val="24"/>
        </w:rPr>
        <w:t>des droits d’enregistrement</w:t>
      </w:r>
    </w:p>
    <w:p w:rsidR="00FB4924" w:rsidRDefault="00FB4924" w:rsidP="00FB4924">
      <w:pPr>
        <w:spacing w:before="120" w:after="120" w:line="360" w:lineRule="auto"/>
        <w:jc w:val="both"/>
        <w:rPr>
          <w:rFonts w:asciiTheme="majorHAnsi" w:hAnsiTheme="majorHAnsi"/>
          <w:sz w:val="24"/>
          <w:szCs w:val="24"/>
        </w:rPr>
      </w:pPr>
      <w:r>
        <w:rPr>
          <w:rFonts w:asciiTheme="majorHAnsi" w:hAnsiTheme="majorHAnsi"/>
          <w:sz w:val="24"/>
          <w:szCs w:val="24"/>
        </w:rPr>
        <w:t>La convention conclue avec une société spécialisée ayant son siège social au Japon est qualifiée comme marché de construction qui est soumis au droit fixe de 20 TND par page et par copie d’acte, avec un maximum de 2%, et ce quelque soit le lieu de sa conclusion.</w:t>
      </w:r>
    </w:p>
    <w:p w:rsidR="00BD303B" w:rsidRDefault="00BD303B" w:rsidP="00BD303B">
      <w:pPr>
        <w:spacing w:before="120" w:after="120" w:line="360" w:lineRule="auto"/>
        <w:jc w:val="both"/>
        <w:rPr>
          <w:rFonts w:asciiTheme="majorHAnsi" w:hAnsiTheme="majorHAnsi"/>
          <w:sz w:val="24"/>
          <w:szCs w:val="24"/>
        </w:rPr>
      </w:pPr>
      <w:r w:rsidRPr="00BD303B">
        <w:rPr>
          <w:rFonts w:asciiTheme="majorHAnsi" w:hAnsiTheme="majorHAnsi"/>
          <w:b/>
          <w:bCs/>
          <w:i/>
          <w:iCs/>
          <w:sz w:val="24"/>
          <w:szCs w:val="24"/>
        </w:rPr>
        <w:t>Remarque :</w:t>
      </w:r>
      <w:r>
        <w:rPr>
          <w:rFonts w:asciiTheme="majorHAnsi" w:hAnsiTheme="majorHAnsi"/>
          <w:sz w:val="24"/>
          <w:szCs w:val="24"/>
        </w:rPr>
        <w:t xml:space="preserve"> </w:t>
      </w:r>
      <w:r w:rsidRPr="00BD303B">
        <w:rPr>
          <w:rFonts w:asciiTheme="majorHAnsi" w:hAnsiTheme="majorHAnsi"/>
          <w:sz w:val="24"/>
          <w:szCs w:val="24"/>
        </w:rPr>
        <w:t xml:space="preserve">D’après les articles 50 et 51 de la loi de finances pour </w:t>
      </w:r>
      <w:r w:rsidRPr="00BD303B">
        <w:rPr>
          <w:rFonts w:asciiTheme="majorHAnsi" w:hAnsiTheme="majorHAnsi"/>
          <w:b/>
          <w:bCs/>
          <w:i/>
          <w:iCs/>
          <w:sz w:val="24"/>
          <w:szCs w:val="24"/>
        </w:rPr>
        <w:t>2013</w:t>
      </w:r>
      <w:r w:rsidRPr="00BD303B">
        <w:rPr>
          <w:rFonts w:asciiTheme="majorHAnsi" w:hAnsiTheme="majorHAnsi"/>
          <w:sz w:val="24"/>
          <w:szCs w:val="24"/>
        </w:rPr>
        <w:t xml:space="preserve">, le droit d’enregistrement exigible sur les marchés et concessions est liquidé sur la base de </w:t>
      </w:r>
      <w:r w:rsidRPr="00BD303B">
        <w:rPr>
          <w:rFonts w:asciiTheme="majorHAnsi" w:hAnsiTheme="majorHAnsi"/>
          <w:b/>
          <w:bCs/>
          <w:i/>
          <w:iCs/>
          <w:sz w:val="24"/>
          <w:szCs w:val="24"/>
        </w:rPr>
        <w:t>0,5%</w:t>
      </w:r>
      <w:r w:rsidRPr="00BD303B">
        <w:rPr>
          <w:rFonts w:asciiTheme="majorHAnsi" w:hAnsiTheme="majorHAnsi"/>
          <w:sz w:val="24"/>
          <w:szCs w:val="24"/>
        </w:rPr>
        <w:t xml:space="preserve"> de leur valeur y compris tous droits et taxes exigibles conformément à la législation en vigueur. </w:t>
      </w:r>
    </w:p>
    <w:p w:rsidR="00621EAB" w:rsidRDefault="00621EAB" w:rsidP="00621EAB">
      <w:pPr>
        <w:tabs>
          <w:tab w:val="left" w:pos="709"/>
        </w:tabs>
        <w:spacing w:before="120" w:after="120" w:line="360" w:lineRule="auto"/>
        <w:ind w:left="360"/>
        <w:jc w:val="both"/>
        <w:rPr>
          <w:rFonts w:asciiTheme="majorHAnsi" w:hAnsiTheme="majorHAnsi"/>
          <w:b/>
          <w:bCs/>
          <w:i/>
          <w:iCs/>
          <w:sz w:val="24"/>
          <w:szCs w:val="24"/>
        </w:rPr>
      </w:pPr>
      <w:r w:rsidRPr="00621EAB">
        <w:rPr>
          <w:rFonts w:asciiTheme="majorHAnsi" w:hAnsiTheme="majorHAnsi"/>
          <w:b/>
          <w:bCs/>
          <w:i/>
          <w:iCs/>
          <w:sz w:val="24"/>
          <w:szCs w:val="24"/>
        </w:rPr>
        <w:t>En matière d’IS</w:t>
      </w:r>
    </w:p>
    <w:p w:rsidR="00621EAB" w:rsidRDefault="00FB4924" w:rsidP="00621EAB">
      <w:pPr>
        <w:spacing w:before="120" w:after="120" w:line="360" w:lineRule="auto"/>
        <w:jc w:val="both"/>
        <w:rPr>
          <w:rFonts w:asciiTheme="majorHAnsi" w:hAnsiTheme="majorHAnsi"/>
          <w:sz w:val="24"/>
          <w:szCs w:val="24"/>
        </w:rPr>
      </w:pPr>
      <w:r>
        <w:rPr>
          <w:rFonts w:asciiTheme="majorHAnsi" w:hAnsiTheme="majorHAnsi"/>
          <w:sz w:val="24"/>
          <w:szCs w:val="24"/>
        </w:rPr>
        <w:t>En l’absence d’une convention fiscale de non double imposition entre la Tunisie et le Japon, et conformément au droit interne, la société Japonaise est cons</w:t>
      </w:r>
      <w:r w:rsidR="0031657B">
        <w:rPr>
          <w:rFonts w:asciiTheme="majorHAnsi" w:hAnsiTheme="majorHAnsi"/>
          <w:sz w:val="24"/>
          <w:szCs w:val="24"/>
        </w:rPr>
        <w:t xml:space="preserve">idérée comme établie en Tunisie, </w:t>
      </w:r>
      <w:r w:rsidR="0031657B" w:rsidRPr="00922D2E">
        <w:rPr>
          <w:rFonts w:asciiTheme="majorHAnsi" w:hAnsiTheme="majorHAnsi"/>
          <w:sz w:val="24"/>
          <w:szCs w:val="24"/>
        </w:rPr>
        <w:t xml:space="preserve">elle est donc, soumise à toutes les obligations </w:t>
      </w:r>
      <w:r w:rsidR="0031657B" w:rsidRPr="00922006">
        <w:rPr>
          <w:rFonts w:asciiTheme="majorHAnsi" w:hAnsiTheme="majorHAnsi"/>
          <w:b/>
          <w:bCs/>
          <w:i/>
          <w:iCs/>
          <w:sz w:val="24"/>
          <w:szCs w:val="24"/>
        </w:rPr>
        <w:t>comptables et fiscales</w:t>
      </w:r>
      <w:r w:rsidR="0031657B" w:rsidRPr="00922D2E">
        <w:rPr>
          <w:rFonts w:asciiTheme="majorHAnsi" w:hAnsiTheme="majorHAnsi"/>
          <w:sz w:val="24"/>
          <w:szCs w:val="24"/>
        </w:rPr>
        <w:t xml:space="preserve"> prévues par la législation en vigueur.</w:t>
      </w:r>
    </w:p>
    <w:p w:rsidR="009571A0" w:rsidRDefault="009571A0" w:rsidP="00621EAB">
      <w:pPr>
        <w:spacing w:before="120" w:after="120" w:line="360" w:lineRule="auto"/>
        <w:jc w:val="both"/>
        <w:rPr>
          <w:rFonts w:asciiTheme="majorHAnsi" w:hAnsiTheme="majorHAnsi"/>
          <w:sz w:val="24"/>
          <w:szCs w:val="24"/>
        </w:rPr>
      </w:pPr>
    </w:p>
    <w:p w:rsidR="0031657B" w:rsidRDefault="0031657B" w:rsidP="0031657B">
      <w:pPr>
        <w:spacing w:before="120" w:after="120" w:line="360" w:lineRule="auto"/>
        <w:jc w:val="both"/>
        <w:rPr>
          <w:rFonts w:asciiTheme="majorHAnsi" w:hAnsiTheme="majorHAnsi"/>
          <w:sz w:val="24"/>
          <w:szCs w:val="24"/>
        </w:rPr>
      </w:pPr>
      <w:r w:rsidRPr="00922D2E">
        <w:rPr>
          <w:rFonts w:asciiTheme="majorHAnsi" w:hAnsiTheme="majorHAnsi"/>
          <w:sz w:val="24"/>
          <w:szCs w:val="24"/>
        </w:rPr>
        <w:lastRenderedPageBreak/>
        <w:t xml:space="preserve">Toutefois et du fait que la durée des </w:t>
      </w:r>
      <w:r w:rsidRPr="00AA276B">
        <w:rPr>
          <w:rFonts w:asciiTheme="majorHAnsi" w:hAnsiTheme="majorHAnsi"/>
          <w:sz w:val="24"/>
          <w:szCs w:val="24"/>
        </w:rPr>
        <w:t>travaux d’installation</w:t>
      </w:r>
      <w:r>
        <w:rPr>
          <w:rFonts w:asciiTheme="majorHAnsi" w:hAnsiTheme="majorHAnsi"/>
          <w:sz w:val="24"/>
          <w:szCs w:val="24"/>
        </w:rPr>
        <w:t xml:space="preserve"> (5 mois)</w:t>
      </w:r>
      <w:r w:rsidRPr="00AA276B">
        <w:rPr>
          <w:rFonts w:asciiTheme="majorHAnsi" w:hAnsiTheme="majorHAnsi"/>
          <w:sz w:val="24"/>
          <w:szCs w:val="24"/>
        </w:rPr>
        <w:t xml:space="preserve"> </w:t>
      </w:r>
      <w:r w:rsidRPr="00B70BC6">
        <w:rPr>
          <w:rFonts w:asciiTheme="majorHAnsi" w:hAnsiTheme="majorHAnsi"/>
          <w:b/>
          <w:bCs/>
          <w:i/>
          <w:iCs/>
          <w:sz w:val="24"/>
          <w:szCs w:val="24"/>
        </w:rPr>
        <w:t>ne dépasse pas 6 mois</w:t>
      </w:r>
      <w:r w:rsidRPr="00922D2E">
        <w:rPr>
          <w:rFonts w:asciiTheme="majorHAnsi" w:hAnsiTheme="majorHAnsi"/>
          <w:sz w:val="24"/>
          <w:szCs w:val="24"/>
        </w:rPr>
        <w:t xml:space="preserve">, </w:t>
      </w:r>
      <w:r>
        <w:rPr>
          <w:rFonts w:asciiTheme="majorHAnsi" w:hAnsiTheme="majorHAnsi"/>
          <w:sz w:val="24"/>
          <w:szCs w:val="24"/>
        </w:rPr>
        <w:t>le régime d’imposition est déterminé comme suit :</w:t>
      </w:r>
    </w:p>
    <w:p w:rsidR="0031657B" w:rsidRDefault="0031657B" w:rsidP="0031657B">
      <w:pPr>
        <w:pStyle w:val="Paragraphedeliste"/>
        <w:numPr>
          <w:ilvl w:val="0"/>
          <w:numId w:val="45"/>
        </w:numPr>
        <w:tabs>
          <w:tab w:val="left" w:pos="1134"/>
          <w:tab w:val="left" w:pos="1701"/>
        </w:tabs>
        <w:spacing w:before="120" w:after="120" w:line="360" w:lineRule="auto"/>
        <w:ind w:left="993" w:firstLine="425"/>
        <w:jc w:val="both"/>
        <w:rPr>
          <w:rFonts w:asciiTheme="majorHAnsi" w:hAnsiTheme="majorHAnsi"/>
          <w:sz w:val="24"/>
          <w:szCs w:val="24"/>
        </w:rPr>
      </w:pPr>
      <w:r w:rsidRPr="00880A41">
        <w:rPr>
          <w:rFonts w:asciiTheme="majorHAnsi" w:hAnsiTheme="majorHAnsi"/>
          <w:sz w:val="24"/>
          <w:szCs w:val="24"/>
        </w:rPr>
        <w:t>Imposition par voie de retenue à la source libératoire</w:t>
      </w:r>
    </w:p>
    <w:p w:rsidR="0031657B" w:rsidRPr="00922D2E" w:rsidRDefault="0031657B" w:rsidP="0031657B">
      <w:pPr>
        <w:spacing w:before="120" w:after="120" w:line="360" w:lineRule="auto"/>
        <w:jc w:val="both"/>
        <w:rPr>
          <w:rFonts w:asciiTheme="majorHAnsi" w:hAnsiTheme="majorHAnsi"/>
          <w:sz w:val="24"/>
          <w:szCs w:val="24"/>
        </w:rPr>
      </w:pPr>
      <w:r w:rsidRPr="00922D2E">
        <w:rPr>
          <w:rFonts w:asciiTheme="majorHAnsi" w:hAnsiTheme="majorHAnsi"/>
          <w:sz w:val="24"/>
          <w:szCs w:val="24"/>
        </w:rPr>
        <w:t xml:space="preserve">L’impôt sur les sociétés est payé par voie de retenue à la source libératoire au taux de </w:t>
      </w:r>
      <w:r>
        <w:rPr>
          <w:rFonts w:asciiTheme="majorHAnsi" w:hAnsiTheme="majorHAnsi"/>
          <w:sz w:val="24"/>
          <w:szCs w:val="24"/>
        </w:rPr>
        <w:t>5%</w:t>
      </w:r>
      <w:r w:rsidRPr="00922D2E">
        <w:rPr>
          <w:rFonts w:asciiTheme="majorHAnsi" w:hAnsiTheme="majorHAnsi"/>
          <w:sz w:val="24"/>
          <w:szCs w:val="24"/>
        </w:rPr>
        <w:t xml:space="preserve"> du montant brut de la rémunération. Cette retenue à la source doit être opérée par la société </w:t>
      </w:r>
      <w:r w:rsidRPr="008878C1">
        <w:rPr>
          <w:rFonts w:asciiTheme="majorHAnsi" w:hAnsiTheme="majorHAnsi"/>
          <w:b/>
          <w:bCs/>
          <w:i/>
          <w:iCs/>
          <w:sz w:val="24"/>
          <w:szCs w:val="24"/>
        </w:rPr>
        <w:t>«</w:t>
      </w:r>
      <w:r>
        <w:rPr>
          <w:rFonts w:asciiTheme="majorHAnsi" w:hAnsiTheme="majorHAnsi"/>
          <w:b/>
          <w:bCs/>
          <w:i/>
          <w:iCs/>
          <w:sz w:val="24"/>
          <w:szCs w:val="24"/>
        </w:rPr>
        <w:t>ABC</w:t>
      </w:r>
      <w:r w:rsidRPr="008878C1">
        <w:rPr>
          <w:rFonts w:asciiTheme="majorHAnsi" w:hAnsiTheme="majorHAnsi"/>
          <w:b/>
          <w:bCs/>
          <w:i/>
          <w:iCs/>
          <w:sz w:val="24"/>
          <w:szCs w:val="24"/>
        </w:rPr>
        <w:t>»</w:t>
      </w:r>
      <w:r w:rsidRPr="00922D2E">
        <w:rPr>
          <w:rFonts w:asciiTheme="majorHAnsi" w:hAnsiTheme="majorHAnsi"/>
          <w:sz w:val="24"/>
          <w:szCs w:val="24"/>
        </w:rPr>
        <w:t>.</w:t>
      </w:r>
      <w:r>
        <w:rPr>
          <w:rFonts w:asciiTheme="majorHAnsi" w:hAnsiTheme="majorHAnsi"/>
          <w:sz w:val="24"/>
          <w:szCs w:val="24"/>
        </w:rPr>
        <w:t xml:space="preserve"> </w:t>
      </w:r>
    </w:p>
    <w:p w:rsidR="0031657B" w:rsidRDefault="0031657B" w:rsidP="0031657B">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La retenue à la source en question doit être opérée par la société </w:t>
      </w:r>
      <w:r w:rsidRPr="008878C1">
        <w:rPr>
          <w:rFonts w:asciiTheme="majorHAnsi" w:hAnsiTheme="majorHAnsi"/>
          <w:b/>
          <w:bCs/>
          <w:i/>
          <w:iCs/>
          <w:sz w:val="24"/>
          <w:szCs w:val="24"/>
        </w:rPr>
        <w:t>«</w:t>
      </w:r>
      <w:r>
        <w:rPr>
          <w:rFonts w:asciiTheme="majorHAnsi" w:hAnsiTheme="majorHAnsi"/>
          <w:b/>
          <w:bCs/>
          <w:i/>
          <w:iCs/>
          <w:sz w:val="24"/>
          <w:szCs w:val="24"/>
        </w:rPr>
        <w:t>ABC</w:t>
      </w:r>
      <w:r w:rsidRPr="008878C1">
        <w:rPr>
          <w:rFonts w:asciiTheme="majorHAnsi" w:hAnsiTheme="majorHAnsi"/>
          <w:b/>
          <w:bCs/>
          <w:i/>
          <w:iCs/>
          <w:sz w:val="24"/>
          <w:szCs w:val="24"/>
        </w:rPr>
        <w:t>»</w:t>
      </w:r>
      <w:r>
        <w:rPr>
          <w:rFonts w:asciiTheme="majorHAnsi" w:hAnsiTheme="majorHAnsi"/>
          <w:b/>
          <w:bCs/>
          <w:i/>
          <w:iCs/>
          <w:sz w:val="24"/>
          <w:szCs w:val="24"/>
        </w:rPr>
        <w:t xml:space="preserve"> </w:t>
      </w:r>
      <w:r w:rsidRPr="00AA276B">
        <w:rPr>
          <w:rFonts w:asciiTheme="majorHAnsi" w:hAnsiTheme="majorHAnsi"/>
          <w:sz w:val="24"/>
          <w:szCs w:val="24"/>
        </w:rPr>
        <w:t>et ce à l’occasion de chaque paiement qu’il soit à titre d’avance ou</w:t>
      </w:r>
      <w:r>
        <w:rPr>
          <w:rFonts w:asciiTheme="majorHAnsi" w:hAnsiTheme="majorHAnsi"/>
          <w:sz w:val="24"/>
          <w:szCs w:val="24"/>
        </w:rPr>
        <w:t xml:space="preserve"> </w:t>
      </w:r>
      <w:r w:rsidRPr="00AA276B">
        <w:rPr>
          <w:rFonts w:asciiTheme="majorHAnsi" w:hAnsiTheme="majorHAnsi"/>
          <w:sz w:val="24"/>
          <w:szCs w:val="24"/>
        </w:rPr>
        <w:t>d’acomptes ou de règlement définitif des prestations déjà effectuées.</w:t>
      </w:r>
    </w:p>
    <w:p w:rsidR="0031657B" w:rsidRDefault="0031657B" w:rsidP="0031657B">
      <w:pPr>
        <w:tabs>
          <w:tab w:val="left" w:pos="709"/>
        </w:tabs>
        <w:spacing w:before="120" w:after="120" w:line="360" w:lineRule="auto"/>
        <w:jc w:val="both"/>
        <w:rPr>
          <w:rFonts w:asciiTheme="majorHAnsi" w:hAnsiTheme="majorHAnsi"/>
          <w:sz w:val="24"/>
          <w:szCs w:val="24"/>
        </w:rPr>
      </w:pPr>
      <w:r w:rsidRPr="001E0163">
        <w:rPr>
          <w:rFonts w:asciiTheme="majorHAnsi" w:hAnsiTheme="majorHAnsi"/>
          <w:sz w:val="24"/>
          <w:szCs w:val="24"/>
        </w:rPr>
        <w:t>Régime</w:t>
      </w:r>
      <w:r>
        <w:rPr>
          <w:rFonts w:asciiTheme="majorHAnsi" w:hAnsiTheme="majorHAnsi"/>
          <w:sz w:val="24"/>
          <w:szCs w:val="24"/>
        </w:rPr>
        <w:t xml:space="preserve"> d’imposition par voie de retenue à la source</w:t>
      </w:r>
      <w:r w:rsidRPr="001E0163">
        <w:rPr>
          <w:rFonts w:asciiTheme="majorHAnsi" w:hAnsiTheme="majorHAnsi"/>
          <w:sz w:val="24"/>
          <w:szCs w:val="24"/>
        </w:rPr>
        <w:t xml:space="preserve"> libératoire</w:t>
      </w:r>
      <w:r>
        <w:rPr>
          <w:rFonts w:asciiTheme="majorHAnsi" w:hAnsiTheme="majorHAnsi"/>
          <w:sz w:val="24"/>
          <w:szCs w:val="24"/>
        </w:rPr>
        <w:t xml:space="preserve"> </w:t>
      </w:r>
      <w:r w:rsidRPr="001E0163">
        <w:rPr>
          <w:rFonts w:asciiTheme="majorHAnsi" w:hAnsiTheme="majorHAnsi"/>
          <w:sz w:val="24"/>
          <w:szCs w:val="24"/>
        </w:rPr>
        <w:t>:</w:t>
      </w:r>
      <w:r>
        <w:rPr>
          <w:rFonts w:asciiTheme="majorHAnsi" w:hAnsiTheme="majorHAnsi"/>
          <w:sz w:val="24"/>
          <w:szCs w:val="24"/>
        </w:rPr>
        <w:t xml:space="preserve"> 50</w:t>
      </w:r>
      <w:r w:rsidRPr="001E0163">
        <w:rPr>
          <w:rFonts w:asciiTheme="majorHAnsi" w:hAnsiTheme="majorHAnsi"/>
          <w:sz w:val="24"/>
          <w:szCs w:val="24"/>
        </w:rPr>
        <w:t xml:space="preserve">0.000D x 1,18 x </w:t>
      </w:r>
      <w:r>
        <w:rPr>
          <w:rFonts w:asciiTheme="majorHAnsi" w:hAnsiTheme="majorHAnsi"/>
          <w:sz w:val="24"/>
          <w:szCs w:val="24"/>
        </w:rPr>
        <w:t>5</w:t>
      </w:r>
      <w:r w:rsidRPr="001E0163">
        <w:rPr>
          <w:rFonts w:asciiTheme="majorHAnsi" w:hAnsiTheme="majorHAnsi"/>
          <w:sz w:val="24"/>
          <w:szCs w:val="24"/>
        </w:rPr>
        <w:t>% = 29.500</w:t>
      </w:r>
      <w:r>
        <w:rPr>
          <w:rFonts w:asciiTheme="majorHAnsi" w:hAnsiTheme="majorHAnsi"/>
          <w:sz w:val="24"/>
          <w:szCs w:val="24"/>
        </w:rPr>
        <w:t xml:space="preserve"> TND</w:t>
      </w:r>
    </w:p>
    <w:p w:rsidR="0031657B" w:rsidRPr="00880A41" w:rsidRDefault="0031657B" w:rsidP="0031657B">
      <w:pPr>
        <w:pStyle w:val="Paragraphedeliste"/>
        <w:numPr>
          <w:ilvl w:val="0"/>
          <w:numId w:val="45"/>
        </w:numPr>
        <w:tabs>
          <w:tab w:val="left" w:pos="1134"/>
          <w:tab w:val="left" w:pos="1701"/>
        </w:tabs>
        <w:spacing w:before="120" w:after="120" w:line="360" w:lineRule="auto"/>
        <w:ind w:left="993" w:firstLine="425"/>
        <w:jc w:val="both"/>
        <w:rPr>
          <w:rFonts w:asciiTheme="majorHAnsi" w:hAnsiTheme="majorHAnsi"/>
          <w:sz w:val="24"/>
          <w:szCs w:val="24"/>
        </w:rPr>
      </w:pPr>
      <w:r w:rsidRPr="00880A41">
        <w:rPr>
          <w:rFonts w:ascii="Times-Bold" w:hAnsi="Times-Bold" w:cs="Times-Bold"/>
          <w:sz w:val="24"/>
          <w:szCs w:val="24"/>
        </w:rPr>
        <w:t xml:space="preserve">Imposition sur la base </w:t>
      </w:r>
      <w:r w:rsidRPr="00DF3405">
        <w:rPr>
          <w:rFonts w:asciiTheme="majorHAnsi" w:hAnsiTheme="majorHAnsi"/>
          <w:sz w:val="24"/>
          <w:szCs w:val="24"/>
        </w:rPr>
        <w:t>des</w:t>
      </w:r>
      <w:r w:rsidRPr="00880A41">
        <w:rPr>
          <w:rFonts w:ascii="Times-Bold" w:hAnsi="Times-Bold" w:cs="Times-Bold"/>
          <w:sz w:val="24"/>
          <w:szCs w:val="24"/>
        </w:rPr>
        <w:t xml:space="preserve"> </w:t>
      </w:r>
      <w:r w:rsidRPr="00880A41">
        <w:rPr>
          <w:rFonts w:asciiTheme="majorHAnsi" w:hAnsiTheme="majorHAnsi"/>
          <w:sz w:val="24"/>
          <w:szCs w:val="24"/>
        </w:rPr>
        <w:t>revenus</w:t>
      </w:r>
      <w:r w:rsidRPr="00880A41">
        <w:rPr>
          <w:rFonts w:ascii="Times-Bold" w:hAnsi="Times-Bold" w:cs="Times-Bold"/>
          <w:sz w:val="24"/>
          <w:szCs w:val="24"/>
        </w:rPr>
        <w:t xml:space="preserve"> ou bénéfices nets réalisés</w:t>
      </w:r>
    </w:p>
    <w:p w:rsidR="0031657B" w:rsidRDefault="0031657B" w:rsidP="00D619EF">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La </w:t>
      </w:r>
      <w:r w:rsidRPr="0031657B">
        <w:rPr>
          <w:rFonts w:asciiTheme="majorHAnsi" w:hAnsiTheme="majorHAnsi"/>
          <w:sz w:val="24"/>
          <w:szCs w:val="24"/>
        </w:rPr>
        <w:t xml:space="preserve">société </w:t>
      </w:r>
      <w:r w:rsidRPr="00D95361">
        <w:rPr>
          <w:rFonts w:asciiTheme="majorHAnsi" w:hAnsiTheme="majorHAnsi"/>
          <w:sz w:val="24"/>
          <w:szCs w:val="24"/>
        </w:rPr>
        <w:t>Japonaise</w:t>
      </w:r>
      <w:r>
        <w:rPr>
          <w:rFonts w:asciiTheme="majorHAnsi" w:hAnsiTheme="majorHAnsi"/>
          <w:b/>
          <w:bCs/>
          <w:i/>
          <w:iCs/>
          <w:sz w:val="24"/>
          <w:szCs w:val="24"/>
        </w:rPr>
        <w:t xml:space="preserve"> </w:t>
      </w:r>
      <w:r w:rsidR="00D619EF">
        <w:rPr>
          <w:rFonts w:asciiTheme="majorHAnsi" w:hAnsiTheme="majorHAnsi"/>
          <w:sz w:val="24"/>
          <w:szCs w:val="24"/>
        </w:rPr>
        <w:t>à</w:t>
      </w:r>
      <w:r w:rsidRPr="00AA276B">
        <w:rPr>
          <w:rFonts w:asciiTheme="majorHAnsi" w:hAnsiTheme="majorHAnsi"/>
          <w:sz w:val="24"/>
          <w:szCs w:val="24"/>
        </w:rPr>
        <w:t xml:space="preserve"> la possibilité </w:t>
      </w:r>
      <w:r w:rsidRPr="00880A41">
        <w:rPr>
          <w:rFonts w:asciiTheme="majorHAnsi" w:hAnsiTheme="majorHAnsi"/>
          <w:b/>
          <w:bCs/>
          <w:i/>
          <w:iCs/>
          <w:sz w:val="24"/>
          <w:szCs w:val="24"/>
        </w:rPr>
        <w:t xml:space="preserve">d'opter </w:t>
      </w:r>
      <w:r w:rsidRPr="00AA276B">
        <w:rPr>
          <w:rFonts w:asciiTheme="majorHAnsi" w:hAnsiTheme="majorHAnsi"/>
          <w:sz w:val="24"/>
          <w:szCs w:val="24"/>
        </w:rPr>
        <w:t>pour le paiement de l’impôt</w:t>
      </w:r>
      <w:r>
        <w:rPr>
          <w:rFonts w:asciiTheme="majorHAnsi" w:hAnsiTheme="majorHAnsi"/>
          <w:sz w:val="24"/>
          <w:szCs w:val="24"/>
        </w:rPr>
        <w:t xml:space="preserve"> </w:t>
      </w:r>
      <w:r w:rsidRPr="00AA276B">
        <w:rPr>
          <w:rFonts w:asciiTheme="majorHAnsi" w:hAnsiTheme="majorHAnsi"/>
          <w:sz w:val="24"/>
          <w:szCs w:val="24"/>
        </w:rPr>
        <w:t xml:space="preserve">sur la base des bénéfices nets réalisés au titre des travaux </w:t>
      </w:r>
      <w:r>
        <w:rPr>
          <w:rFonts w:asciiTheme="majorHAnsi" w:hAnsiTheme="majorHAnsi"/>
          <w:sz w:val="24"/>
          <w:szCs w:val="24"/>
        </w:rPr>
        <w:t>de construction</w:t>
      </w:r>
      <w:r w:rsidRPr="00AA276B">
        <w:rPr>
          <w:rFonts w:asciiTheme="majorHAnsi" w:hAnsiTheme="majorHAnsi"/>
          <w:sz w:val="24"/>
          <w:szCs w:val="24"/>
        </w:rPr>
        <w:t>. L’option</w:t>
      </w:r>
      <w:r>
        <w:rPr>
          <w:rFonts w:asciiTheme="majorHAnsi" w:hAnsiTheme="majorHAnsi"/>
          <w:sz w:val="24"/>
          <w:szCs w:val="24"/>
        </w:rPr>
        <w:t xml:space="preserve"> </w:t>
      </w:r>
      <w:r w:rsidRPr="00AA276B">
        <w:rPr>
          <w:rFonts w:asciiTheme="majorHAnsi" w:hAnsiTheme="majorHAnsi"/>
          <w:sz w:val="24"/>
          <w:szCs w:val="24"/>
        </w:rPr>
        <w:t>pour l’imposition sur cette base est exercée par voie d’une demande qui doit être</w:t>
      </w:r>
      <w:r>
        <w:rPr>
          <w:rFonts w:asciiTheme="majorHAnsi" w:hAnsiTheme="majorHAnsi"/>
          <w:sz w:val="24"/>
          <w:szCs w:val="24"/>
        </w:rPr>
        <w:t xml:space="preserve"> </w:t>
      </w:r>
      <w:r w:rsidRPr="00AA276B">
        <w:rPr>
          <w:rFonts w:asciiTheme="majorHAnsi" w:hAnsiTheme="majorHAnsi"/>
          <w:sz w:val="24"/>
          <w:szCs w:val="24"/>
        </w:rPr>
        <w:t xml:space="preserve">déposée à cette fin par la société </w:t>
      </w:r>
      <w:r w:rsidRPr="0031657B">
        <w:rPr>
          <w:rFonts w:asciiTheme="majorHAnsi" w:hAnsiTheme="majorHAnsi"/>
          <w:sz w:val="24"/>
          <w:szCs w:val="24"/>
        </w:rPr>
        <w:t>Japonaise</w:t>
      </w:r>
      <w:r>
        <w:rPr>
          <w:rFonts w:asciiTheme="majorHAnsi" w:hAnsiTheme="majorHAnsi"/>
          <w:i/>
          <w:iCs/>
          <w:sz w:val="24"/>
          <w:szCs w:val="24"/>
        </w:rPr>
        <w:t xml:space="preserve"> </w:t>
      </w:r>
      <w:r w:rsidRPr="00AA276B">
        <w:rPr>
          <w:rFonts w:asciiTheme="majorHAnsi" w:hAnsiTheme="majorHAnsi"/>
          <w:sz w:val="24"/>
          <w:szCs w:val="24"/>
        </w:rPr>
        <w:t>auprès du bureau du contrôle des</w:t>
      </w:r>
      <w:r>
        <w:rPr>
          <w:rFonts w:asciiTheme="majorHAnsi" w:hAnsiTheme="majorHAnsi"/>
          <w:sz w:val="24"/>
          <w:szCs w:val="24"/>
        </w:rPr>
        <w:t xml:space="preserve"> </w:t>
      </w:r>
      <w:r w:rsidRPr="00AA276B">
        <w:rPr>
          <w:rFonts w:asciiTheme="majorHAnsi" w:hAnsiTheme="majorHAnsi"/>
          <w:sz w:val="24"/>
          <w:szCs w:val="24"/>
        </w:rPr>
        <w:t>impôts compétent et ce lors du dépôt de sa déclaration d’existence.</w:t>
      </w:r>
    </w:p>
    <w:p w:rsidR="0031657B" w:rsidRDefault="0031657B" w:rsidP="0031657B">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En cas d’option pour le paiement de l’IS sur la base des bénéfices nets</w:t>
      </w:r>
      <w:r>
        <w:rPr>
          <w:rFonts w:asciiTheme="majorHAnsi" w:hAnsiTheme="majorHAnsi"/>
          <w:sz w:val="24"/>
          <w:szCs w:val="24"/>
        </w:rPr>
        <w:t xml:space="preserve"> </w:t>
      </w:r>
      <w:r w:rsidRPr="00AA276B">
        <w:rPr>
          <w:rFonts w:asciiTheme="majorHAnsi" w:hAnsiTheme="majorHAnsi"/>
          <w:sz w:val="24"/>
          <w:szCs w:val="24"/>
        </w:rPr>
        <w:t xml:space="preserve">réalisés, la société </w:t>
      </w:r>
      <w:r w:rsidRPr="0031657B">
        <w:rPr>
          <w:rFonts w:asciiTheme="majorHAnsi" w:hAnsiTheme="majorHAnsi"/>
          <w:sz w:val="24"/>
          <w:szCs w:val="24"/>
        </w:rPr>
        <w:t>Japonaise</w:t>
      </w:r>
      <w:r>
        <w:rPr>
          <w:rFonts w:asciiTheme="majorHAnsi" w:hAnsiTheme="majorHAnsi"/>
          <w:b/>
          <w:bCs/>
          <w:i/>
          <w:iCs/>
          <w:sz w:val="24"/>
          <w:szCs w:val="24"/>
        </w:rPr>
        <w:t xml:space="preserve"> </w:t>
      </w:r>
      <w:r w:rsidRPr="00AA276B">
        <w:rPr>
          <w:rFonts w:asciiTheme="majorHAnsi" w:hAnsiTheme="majorHAnsi"/>
          <w:sz w:val="24"/>
          <w:szCs w:val="24"/>
        </w:rPr>
        <w:t>sera soumise à toutes les obligations fiscales et</w:t>
      </w:r>
      <w:r>
        <w:rPr>
          <w:rFonts w:asciiTheme="majorHAnsi" w:hAnsiTheme="majorHAnsi"/>
          <w:sz w:val="24"/>
          <w:szCs w:val="24"/>
        </w:rPr>
        <w:t xml:space="preserve"> </w:t>
      </w:r>
      <w:r w:rsidRPr="00AA276B">
        <w:rPr>
          <w:rFonts w:asciiTheme="majorHAnsi" w:hAnsiTheme="majorHAnsi"/>
          <w:sz w:val="24"/>
          <w:szCs w:val="24"/>
        </w:rPr>
        <w:t>comptables incombant aux personnes établies en Tunisie dont notamment la</w:t>
      </w:r>
      <w:r>
        <w:rPr>
          <w:rFonts w:asciiTheme="majorHAnsi" w:hAnsiTheme="majorHAnsi"/>
          <w:sz w:val="24"/>
          <w:szCs w:val="24"/>
        </w:rPr>
        <w:t xml:space="preserve"> </w:t>
      </w:r>
      <w:r w:rsidRPr="00AA276B">
        <w:rPr>
          <w:rFonts w:asciiTheme="majorHAnsi" w:hAnsiTheme="majorHAnsi"/>
          <w:sz w:val="24"/>
          <w:szCs w:val="24"/>
        </w:rPr>
        <w:t>tenue d’une comptabilité conforme à la législation comptable des entreprises, le</w:t>
      </w:r>
      <w:r>
        <w:rPr>
          <w:rFonts w:asciiTheme="majorHAnsi" w:hAnsiTheme="majorHAnsi"/>
          <w:sz w:val="24"/>
          <w:szCs w:val="24"/>
        </w:rPr>
        <w:t xml:space="preserve"> </w:t>
      </w:r>
      <w:r w:rsidRPr="00AA276B">
        <w:rPr>
          <w:rFonts w:asciiTheme="majorHAnsi" w:hAnsiTheme="majorHAnsi"/>
          <w:sz w:val="24"/>
          <w:szCs w:val="24"/>
        </w:rPr>
        <w:t>dépôt de la déclaration d’existence, des déclarations mensuelles et des</w:t>
      </w:r>
      <w:r>
        <w:rPr>
          <w:rFonts w:asciiTheme="majorHAnsi" w:hAnsiTheme="majorHAnsi"/>
          <w:sz w:val="24"/>
          <w:szCs w:val="24"/>
        </w:rPr>
        <w:t xml:space="preserve"> </w:t>
      </w:r>
      <w:r w:rsidRPr="00AA276B">
        <w:rPr>
          <w:rFonts w:asciiTheme="majorHAnsi" w:hAnsiTheme="majorHAnsi"/>
          <w:sz w:val="24"/>
          <w:szCs w:val="24"/>
        </w:rPr>
        <w:t>déclarations annuelles relatives à l’IS.</w:t>
      </w:r>
      <w:r>
        <w:rPr>
          <w:rFonts w:asciiTheme="majorHAnsi" w:hAnsiTheme="majorHAnsi"/>
          <w:sz w:val="24"/>
          <w:szCs w:val="24"/>
        </w:rPr>
        <w:t xml:space="preserve"> </w:t>
      </w:r>
    </w:p>
    <w:p w:rsidR="0031657B" w:rsidRDefault="0031657B" w:rsidP="0031657B">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La retenue à la source est effectuée dans ce cas par la société </w:t>
      </w:r>
      <w:r w:rsidRPr="008878C1">
        <w:rPr>
          <w:rFonts w:asciiTheme="majorHAnsi" w:hAnsiTheme="majorHAnsi"/>
          <w:b/>
          <w:bCs/>
          <w:i/>
          <w:iCs/>
          <w:sz w:val="24"/>
          <w:szCs w:val="24"/>
        </w:rPr>
        <w:t>«</w:t>
      </w:r>
      <w:r>
        <w:rPr>
          <w:rFonts w:asciiTheme="majorHAnsi" w:hAnsiTheme="majorHAnsi"/>
          <w:b/>
          <w:bCs/>
          <w:i/>
          <w:iCs/>
          <w:sz w:val="24"/>
          <w:szCs w:val="24"/>
        </w:rPr>
        <w:t>ABC</w:t>
      </w:r>
      <w:r w:rsidRPr="008878C1">
        <w:rPr>
          <w:rFonts w:asciiTheme="majorHAnsi" w:hAnsiTheme="majorHAnsi"/>
          <w:b/>
          <w:bCs/>
          <w:i/>
          <w:iCs/>
          <w:sz w:val="24"/>
          <w:szCs w:val="24"/>
        </w:rPr>
        <w:t>»</w:t>
      </w:r>
      <w:r>
        <w:rPr>
          <w:rFonts w:asciiTheme="majorHAnsi" w:hAnsiTheme="majorHAnsi"/>
          <w:b/>
          <w:bCs/>
          <w:i/>
          <w:iCs/>
          <w:sz w:val="24"/>
          <w:szCs w:val="24"/>
        </w:rPr>
        <w:t xml:space="preserve"> </w:t>
      </w:r>
      <w:r w:rsidRPr="00AA276B">
        <w:rPr>
          <w:rFonts w:asciiTheme="majorHAnsi" w:hAnsiTheme="majorHAnsi"/>
          <w:sz w:val="24"/>
          <w:szCs w:val="24"/>
        </w:rPr>
        <w:t xml:space="preserve">au taux fixés de 1,5% pour les travaux </w:t>
      </w:r>
      <w:r>
        <w:rPr>
          <w:rFonts w:asciiTheme="majorHAnsi" w:hAnsiTheme="majorHAnsi"/>
          <w:sz w:val="24"/>
          <w:szCs w:val="24"/>
        </w:rPr>
        <w:t>de construction</w:t>
      </w:r>
      <w:r w:rsidRPr="00AA276B">
        <w:rPr>
          <w:rFonts w:asciiTheme="majorHAnsi" w:hAnsiTheme="majorHAnsi"/>
          <w:sz w:val="24"/>
          <w:szCs w:val="24"/>
        </w:rPr>
        <w:t>. Cette retenue à la</w:t>
      </w:r>
      <w:r>
        <w:rPr>
          <w:rFonts w:asciiTheme="majorHAnsi" w:hAnsiTheme="majorHAnsi"/>
          <w:sz w:val="24"/>
          <w:szCs w:val="24"/>
        </w:rPr>
        <w:t xml:space="preserve"> </w:t>
      </w:r>
      <w:r w:rsidRPr="00AA276B">
        <w:rPr>
          <w:rFonts w:asciiTheme="majorHAnsi" w:hAnsiTheme="majorHAnsi"/>
          <w:sz w:val="24"/>
          <w:szCs w:val="24"/>
        </w:rPr>
        <w:t>source est déductible de l’IS dû, par la société</w:t>
      </w:r>
      <w:r>
        <w:rPr>
          <w:rFonts w:asciiTheme="majorHAnsi" w:hAnsiTheme="majorHAnsi"/>
          <w:sz w:val="24"/>
          <w:szCs w:val="24"/>
        </w:rPr>
        <w:t xml:space="preserve"> </w:t>
      </w:r>
      <w:r w:rsidRPr="0031657B">
        <w:rPr>
          <w:rFonts w:asciiTheme="majorHAnsi" w:hAnsiTheme="majorHAnsi"/>
          <w:sz w:val="24"/>
          <w:szCs w:val="24"/>
        </w:rPr>
        <w:t>japonaise.</w:t>
      </w:r>
    </w:p>
    <w:p w:rsidR="0031657B" w:rsidRDefault="0031657B" w:rsidP="0031657B">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Selon la doctrine administrative, à défaut de production par l’intéressé de</w:t>
      </w:r>
      <w:r>
        <w:rPr>
          <w:rFonts w:asciiTheme="majorHAnsi" w:hAnsiTheme="majorHAnsi"/>
          <w:sz w:val="24"/>
          <w:szCs w:val="24"/>
        </w:rPr>
        <w:t xml:space="preserve"> </w:t>
      </w:r>
      <w:r w:rsidRPr="00AA276B">
        <w:rPr>
          <w:rFonts w:asciiTheme="majorHAnsi" w:hAnsiTheme="majorHAnsi"/>
          <w:sz w:val="24"/>
          <w:szCs w:val="24"/>
        </w:rPr>
        <w:t xml:space="preserve">la demande d’option visée par les services du contrôle fiscal, la société </w:t>
      </w:r>
      <w:r w:rsidRPr="008878C1">
        <w:rPr>
          <w:rFonts w:asciiTheme="majorHAnsi" w:hAnsiTheme="majorHAnsi"/>
          <w:b/>
          <w:bCs/>
          <w:i/>
          <w:iCs/>
          <w:sz w:val="24"/>
          <w:szCs w:val="24"/>
        </w:rPr>
        <w:t>«</w:t>
      </w:r>
      <w:r>
        <w:rPr>
          <w:rFonts w:asciiTheme="majorHAnsi" w:hAnsiTheme="majorHAnsi"/>
          <w:b/>
          <w:bCs/>
          <w:i/>
          <w:iCs/>
          <w:sz w:val="24"/>
          <w:szCs w:val="24"/>
        </w:rPr>
        <w:t>ABC</w:t>
      </w:r>
      <w:r w:rsidRPr="008878C1">
        <w:rPr>
          <w:rFonts w:asciiTheme="majorHAnsi" w:hAnsiTheme="majorHAnsi"/>
          <w:b/>
          <w:bCs/>
          <w:i/>
          <w:iCs/>
          <w:sz w:val="24"/>
          <w:szCs w:val="24"/>
        </w:rPr>
        <w:t>»</w:t>
      </w:r>
      <w:r>
        <w:rPr>
          <w:rFonts w:asciiTheme="majorHAnsi" w:hAnsiTheme="majorHAnsi"/>
          <w:b/>
          <w:bCs/>
          <w:i/>
          <w:iCs/>
          <w:sz w:val="24"/>
          <w:szCs w:val="24"/>
        </w:rPr>
        <w:t xml:space="preserve"> </w:t>
      </w:r>
      <w:r w:rsidRPr="00AA276B">
        <w:rPr>
          <w:rFonts w:asciiTheme="majorHAnsi" w:hAnsiTheme="majorHAnsi"/>
          <w:sz w:val="24"/>
          <w:szCs w:val="24"/>
        </w:rPr>
        <w:t xml:space="preserve">est tenue d’effectuer la retenue à la source au taux de </w:t>
      </w:r>
      <w:r>
        <w:rPr>
          <w:rFonts w:asciiTheme="majorHAnsi" w:hAnsiTheme="majorHAnsi"/>
          <w:sz w:val="24"/>
          <w:szCs w:val="24"/>
        </w:rPr>
        <w:t>5</w:t>
      </w:r>
      <w:r w:rsidRPr="00AA276B">
        <w:rPr>
          <w:rFonts w:asciiTheme="majorHAnsi" w:hAnsiTheme="majorHAnsi"/>
          <w:sz w:val="24"/>
          <w:szCs w:val="24"/>
        </w:rPr>
        <w:t>%.</w:t>
      </w:r>
    </w:p>
    <w:p w:rsidR="009571A0" w:rsidRDefault="009571A0" w:rsidP="0031657B">
      <w:pPr>
        <w:tabs>
          <w:tab w:val="left" w:pos="709"/>
        </w:tabs>
        <w:spacing w:before="120" w:after="120" w:line="360" w:lineRule="auto"/>
        <w:jc w:val="both"/>
        <w:rPr>
          <w:rFonts w:asciiTheme="majorHAnsi" w:hAnsiTheme="majorHAnsi"/>
          <w:sz w:val="24"/>
          <w:szCs w:val="24"/>
        </w:rPr>
      </w:pPr>
    </w:p>
    <w:p w:rsidR="009571A0" w:rsidRDefault="009571A0" w:rsidP="0031657B">
      <w:pPr>
        <w:tabs>
          <w:tab w:val="left" w:pos="709"/>
        </w:tabs>
        <w:spacing w:before="120" w:after="120" w:line="360" w:lineRule="auto"/>
        <w:jc w:val="both"/>
        <w:rPr>
          <w:rFonts w:asciiTheme="majorHAnsi" w:hAnsiTheme="majorHAnsi"/>
          <w:sz w:val="24"/>
          <w:szCs w:val="24"/>
        </w:rPr>
      </w:pPr>
    </w:p>
    <w:p w:rsidR="0031657B" w:rsidRDefault="00621EAB" w:rsidP="0031657B">
      <w:pPr>
        <w:tabs>
          <w:tab w:val="left" w:pos="709"/>
        </w:tabs>
        <w:spacing w:before="120" w:after="120" w:line="360" w:lineRule="auto"/>
        <w:ind w:left="360"/>
        <w:jc w:val="both"/>
        <w:rPr>
          <w:rFonts w:asciiTheme="majorHAnsi" w:hAnsiTheme="majorHAnsi"/>
          <w:sz w:val="24"/>
          <w:szCs w:val="24"/>
        </w:rPr>
      </w:pPr>
      <w:r w:rsidRPr="00621EAB">
        <w:rPr>
          <w:rFonts w:asciiTheme="majorHAnsi" w:hAnsiTheme="majorHAnsi"/>
          <w:b/>
          <w:bCs/>
          <w:i/>
          <w:iCs/>
          <w:sz w:val="24"/>
          <w:szCs w:val="24"/>
        </w:rPr>
        <w:lastRenderedPageBreak/>
        <w:t xml:space="preserve">En matière </w:t>
      </w:r>
      <w:r w:rsidR="0031657B" w:rsidRPr="00DF3405">
        <w:rPr>
          <w:rFonts w:asciiTheme="majorHAnsi" w:hAnsiTheme="majorHAnsi"/>
          <w:b/>
          <w:bCs/>
          <w:sz w:val="24"/>
          <w:szCs w:val="24"/>
        </w:rPr>
        <w:t>des autres impôts, droits et taxes </w:t>
      </w:r>
      <w:r w:rsidR="0031657B" w:rsidRPr="00AA276B">
        <w:rPr>
          <w:rFonts w:asciiTheme="majorHAnsi" w:hAnsiTheme="majorHAnsi"/>
          <w:sz w:val="24"/>
          <w:szCs w:val="24"/>
        </w:rPr>
        <w:t xml:space="preserve"> </w:t>
      </w:r>
    </w:p>
    <w:p w:rsidR="0031657B" w:rsidRDefault="0031657B" w:rsidP="00F17DC9">
      <w:pPr>
        <w:spacing w:before="120" w:after="120" w:line="360" w:lineRule="auto"/>
        <w:jc w:val="both"/>
        <w:rPr>
          <w:rFonts w:asciiTheme="majorHAnsi" w:hAnsiTheme="majorHAnsi"/>
          <w:sz w:val="24"/>
          <w:szCs w:val="24"/>
        </w:rPr>
      </w:pPr>
      <w:r w:rsidRPr="00DF3405">
        <w:rPr>
          <w:rFonts w:asciiTheme="majorHAnsi" w:hAnsiTheme="majorHAnsi"/>
          <w:sz w:val="24"/>
          <w:szCs w:val="24"/>
        </w:rPr>
        <w:t>Les autres impôts, droits et taxes y compris la TVA sont dus par voie de dépôt de déclarations.</w:t>
      </w:r>
      <w:r>
        <w:rPr>
          <w:rFonts w:asciiTheme="majorHAnsi" w:hAnsiTheme="majorHAnsi"/>
          <w:sz w:val="24"/>
          <w:szCs w:val="24"/>
        </w:rPr>
        <w:t xml:space="preserve"> </w:t>
      </w:r>
    </w:p>
    <w:p w:rsidR="00CD515E" w:rsidRDefault="00CD515E" w:rsidP="00CD515E">
      <w:pPr>
        <w:pStyle w:val="Paragraphedeliste"/>
        <w:numPr>
          <w:ilvl w:val="0"/>
          <w:numId w:val="35"/>
        </w:numPr>
        <w:spacing w:before="120" w:after="120" w:line="360" w:lineRule="auto"/>
        <w:jc w:val="both"/>
        <w:rPr>
          <w:rFonts w:asciiTheme="majorHAnsi" w:hAnsiTheme="majorHAnsi"/>
          <w:b/>
          <w:bCs/>
          <w:i/>
          <w:iCs/>
          <w:sz w:val="24"/>
          <w:szCs w:val="24"/>
        </w:rPr>
      </w:pPr>
      <w:r>
        <w:rPr>
          <w:rFonts w:asciiTheme="majorHAnsi" w:hAnsiTheme="majorHAnsi"/>
          <w:b/>
          <w:bCs/>
          <w:i/>
          <w:iCs/>
          <w:sz w:val="24"/>
          <w:szCs w:val="24"/>
        </w:rPr>
        <w:t>Convention réalisée avec la société « HMD »</w:t>
      </w:r>
    </w:p>
    <w:p w:rsidR="00CD515E" w:rsidRPr="00FB4924" w:rsidRDefault="00CD515E" w:rsidP="00CD515E">
      <w:pPr>
        <w:tabs>
          <w:tab w:val="left" w:pos="709"/>
        </w:tabs>
        <w:spacing w:before="120" w:after="120" w:line="360" w:lineRule="auto"/>
        <w:ind w:left="360"/>
        <w:jc w:val="both"/>
        <w:rPr>
          <w:rFonts w:asciiTheme="majorHAnsi" w:hAnsiTheme="majorHAnsi"/>
          <w:b/>
          <w:bCs/>
          <w:i/>
          <w:iCs/>
          <w:sz w:val="24"/>
          <w:szCs w:val="24"/>
        </w:rPr>
      </w:pPr>
      <w:r w:rsidRPr="00FB4924">
        <w:rPr>
          <w:rFonts w:asciiTheme="majorHAnsi" w:hAnsiTheme="majorHAnsi"/>
          <w:b/>
          <w:bCs/>
          <w:i/>
          <w:iCs/>
          <w:sz w:val="24"/>
          <w:szCs w:val="24"/>
        </w:rPr>
        <w:t xml:space="preserve">En matière </w:t>
      </w:r>
      <w:r>
        <w:rPr>
          <w:rFonts w:asciiTheme="majorHAnsi" w:hAnsiTheme="majorHAnsi"/>
          <w:b/>
          <w:bCs/>
          <w:i/>
          <w:iCs/>
          <w:sz w:val="24"/>
          <w:szCs w:val="24"/>
        </w:rPr>
        <w:t>des droits d’enregistrement</w:t>
      </w:r>
    </w:p>
    <w:p w:rsidR="00CD515E" w:rsidRDefault="00CD515E" w:rsidP="00F62BBA">
      <w:pPr>
        <w:spacing w:before="120" w:after="120" w:line="360" w:lineRule="auto"/>
        <w:jc w:val="both"/>
        <w:rPr>
          <w:rFonts w:asciiTheme="majorHAnsi" w:hAnsiTheme="majorHAnsi"/>
          <w:sz w:val="24"/>
          <w:szCs w:val="24"/>
        </w:rPr>
      </w:pPr>
      <w:r>
        <w:rPr>
          <w:rFonts w:asciiTheme="majorHAnsi" w:hAnsiTheme="majorHAnsi"/>
          <w:sz w:val="24"/>
          <w:szCs w:val="24"/>
        </w:rPr>
        <w:t xml:space="preserve">Le marché conclue avec une société résidente en Espagne </w:t>
      </w:r>
      <w:r w:rsidRPr="00CD515E">
        <w:rPr>
          <w:rFonts w:asciiTheme="majorHAnsi" w:hAnsiTheme="majorHAnsi"/>
          <w:b/>
          <w:bCs/>
          <w:i/>
          <w:iCs/>
          <w:sz w:val="24"/>
          <w:szCs w:val="24"/>
        </w:rPr>
        <w:t>«HMD»</w:t>
      </w:r>
      <w:r>
        <w:rPr>
          <w:rFonts w:asciiTheme="majorHAnsi" w:hAnsiTheme="majorHAnsi"/>
          <w:sz w:val="24"/>
          <w:szCs w:val="24"/>
        </w:rPr>
        <w:t xml:space="preserve"> est qualifiée comme marché de fourniture et de service qui est soumis au droit fixe de 20 TND par page et par copie d’acte, avec un maximum de 2%, et ce quelque soit le lieu de sa conclusion.</w:t>
      </w:r>
    </w:p>
    <w:p w:rsidR="00BD303B" w:rsidRDefault="00BD303B" w:rsidP="00BD303B">
      <w:pPr>
        <w:spacing w:before="120" w:after="120" w:line="360" w:lineRule="auto"/>
        <w:jc w:val="both"/>
        <w:rPr>
          <w:rFonts w:asciiTheme="majorHAnsi" w:hAnsiTheme="majorHAnsi"/>
          <w:sz w:val="24"/>
          <w:szCs w:val="24"/>
        </w:rPr>
      </w:pPr>
      <w:r w:rsidRPr="00BD303B">
        <w:rPr>
          <w:rFonts w:asciiTheme="majorHAnsi" w:hAnsiTheme="majorHAnsi"/>
          <w:b/>
          <w:bCs/>
          <w:i/>
          <w:iCs/>
          <w:sz w:val="24"/>
          <w:szCs w:val="24"/>
        </w:rPr>
        <w:t>Remarque :</w:t>
      </w:r>
      <w:r>
        <w:rPr>
          <w:rFonts w:asciiTheme="majorHAnsi" w:hAnsiTheme="majorHAnsi"/>
          <w:sz w:val="24"/>
          <w:szCs w:val="24"/>
        </w:rPr>
        <w:t xml:space="preserve"> </w:t>
      </w:r>
      <w:r w:rsidRPr="00BD303B">
        <w:rPr>
          <w:rFonts w:asciiTheme="majorHAnsi" w:hAnsiTheme="majorHAnsi"/>
          <w:sz w:val="24"/>
          <w:szCs w:val="24"/>
        </w:rPr>
        <w:t xml:space="preserve">D’après les articles 50 et 51 de la loi de finances pour </w:t>
      </w:r>
      <w:r w:rsidRPr="00BD303B">
        <w:rPr>
          <w:rFonts w:asciiTheme="majorHAnsi" w:hAnsiTheme="majorHAnsi"/>
          <w:b/>
          <w:bCs/>
          <w:i/>
          <w:iCs/>
          <w:sz w:val="24"/>
          <w:szCs w:val="24"/>
        </w:rPr>
        <w:t>2013</w:t>
      </w:r>
      <w:r w:rsidRPr="00BD303B">
        <w:rPr>
          <w:rFonts w:asciiTheme="majorHAnsi" w:hAnsiTheme="majorHAnsi"/>
          <w:sz w:val="24"/>
          <w:szCs w:val="24"/>
        </w:rPr>
        <w:t xml:space="preserve">, le droit d’enregistrement exigible sur les marchés et concessions est liquidé sur la base de </w:t>
      </w:r>
      <w:r w:rsidRPr="00BD303B">
        <w:rPr>
          <w:rFonts w:asciiTheme="majorHAnsi" w:hAnsiTheme="majorHAnsi"/>
          <w:b/>
          <w:bCs/>
          <w:i/>
          <w:iCs/>
          <w:sz w:val="24"/>
          <w:szCs w:val="24"/>
        </w:rPr>
        <w:t>0,5%</w:t>
      </w:r>
      <w:r w:rsidRPr="00BD303B">
        <w:rPr>
          <w:rFonts w:asciiTheme="majorHAnsi" w:hAnsiTheme="majorHAnsi"/>
          <w:sz w:val="24"/>
          <w:szCs w:val="24"/>
        </w:rPr>
        <w:t xml:space="preserve"> de leur valeur y compris tous droits et taxes exigibles conformément à la législation en vigueur. </w:t>
      </w:r>
    </w:p>
    <w:p w:rsidR="00CD515E" w:rsidRPr="00BB115E" w:rsidRDefault="00CD515E" w:rsidP="00CD515E">
      <w:pPr>
        <w:tabs>
          <w:tab w:val="left" w:pos="709"/>
        </w:tabs>
        <w:spacing w:before="120" w:after="120" w:line="360" w:lineRule="auto"/>
        <w:ind w:left="360"/>
        <w:jc w:val="both"/>
        <w:rPr>
          <w:rFonts w:asciiTheme="majorHAnsi" w:hAnsiTheme="majorHAnsi"/>
          <w:b/>
          <w:bCs/>
          <w:i/>
          <w:iCs/>
          <w:sz w:val="24"/>
          <w:szCs w:val="24"/>
        </w:rPr>
      </w:pPr>
      <w:r w:rsidRPr="00BB115E">
        <w:rPr>
          <w:rFonts w:asciiTheme="majorHAnsi" w:hAnsiTheme="majorHAnsi"/>
          <w:b/>
          <w:bCs/>
          <w:i/>
          <w:iCs/>
          <w:sz w:val="24"/>
          <w:szCs w:val="24"/>
        </w:rPr>
        <w:t>1-La fourniture des équipements</w:t>
      </w:r>
    </w:p>
    <w:p w:rsidR="00CD515E" w:rsidRPr="001E0163" w:rsidRDefault="00CD515E" w:rsidP="00CD515E">
      <w:pPr>
        <w:tabs>
          <w:tab w:val="left" w:pos="709"/>
        </w:tabs>
        <w:spacing w:before="120" w:after="120" w:line="360" w:lineRule="auto"/>
        <w:jc w:val="both"/>
        <w:rPr>
          <w:rFonts w:asciiTheme="majorHAnsi" w:hAnsiTheme="majorHAnsi"/>
          <w:sz w:val="24"/>
          <w:szCs w:val="24"/>
        </w:rPr>
      </w:pPr>
      <w:r w:rsidRPr="001E0163">
        <w:rPr>
          <w:rFonts w:asciiTheme="majorHAnsi" w:hAnsiTheme="majorHAnsi"/>
          <w:sz w:val="24"/>
          <w:szCs w:val="24"/>
        </w:rPr>
        <w:t>La fourniture des équipements est considérée comme une opération</w:t>
      </w:r>
      <w:r>
        <w:rPr>
          <w:rFonts w:asciiTheme="majorHAnsi" w:hAnsiTheme="majorHAnsi"/>
          <w:sz w:val="24"/>
          <w:szCs w:val="24"/>
        </w:rPr>
        <w:t xml:space="preserve"> </w:t>
      </w:r>
      <w:r w:rsidRPr="001E0163">
        <w:rPr>
          <w:rFonts w:asciiTheme="majorHAnsi" w:hAnsiTheme="majorHAnsi"/>
          <w:sz w:val="24"/>
          <w:szCs w:val="24"/>
        </w:rPr>
        <w:t>d'importation qui n'est passible, éventuellement, qu'aux impôts et taxes indirects</w:t>
      </w:r>
      <w:r>
        <w:rPr>
          <w:rFonts w:asciiTheme="majorHAnsi" w:hAnsiTheme="majorHAnsi"/>
          <w:sz w:val="24"/>
          <w:szCs w:val="24"/>
        </w:rPr>
        <w:t xml:space="preserve"> </w:t>
      </w:r>
      <w:r w:rsidRPr="001E0163">
        <w:rPr>
          <w:rFonts w:asciiTheme="majorHAnsi" w:hAnsiTheme="majorHAnsi"/>
          <w:sz w:val="24"/>
          <w:szCs w:val="24"/>
        </w:rPr>
        <w:t>qui sont prélevées lors du dédouanement. Ces impôts sont à la charge de la</w:t>
      </w:r>
      <w:r>
        <w:rPr>
          <w:rFonts w:asciiTheme="majorHAnsi" w:hAnsiTheme="majorHAnsi"/>
          <w:sz w:val="24"/>
          <w:szCs w:val="24"/>
        </w:rPr>
        <w:t xml:space="preserve"> </w:t>
      </w:r>
      <w:r w:rsidRPr="001E0163">
        <w:rPr>
          <w:rFonts w:asciiTheme="majorHAnsi" w:hAnsiTheme="majorHAnsi"/>
          <w:sz w:val="24"/>
          <w:szCs w:val="24"/>
        </w:rPr>
        <w:t xml:space="preserve">société </w:t>
      </w:r>
      <w:r w:rsidRPr="008878C1">
        <w:rPr>
          <w:rFonts w:asciiTheme="majorHAnsi" w:hAnsiTheme="majorHAnsi"/>
          <w:b/>
          <w:bCs/>
          <w:i/>
          <w:iCs/>
          <w:sz w:val="24"/>
          <w:szCs w:val="24"/>
        </w:rPr>
        <w:t>«</w:t>
      </w:r>
      <w:r>
        <w:rPr>
          <w:rFonts w:asciiTheme="majorHAnsi" w:hAnsiTheme="majorHAnsi"/>
          <w:b/>
          <w:bCs/>
          <w:i/>
          <w:iCs/>
          <w:sz w:val="24"/>
          <w:szCs w:val="24"/>
        </w:rPr>
        <w:t>ABC</w:t>
      </w:r>
      <w:r w:rsidRPr="008878C1">
        <w:rPr>
          <w:rFonts w:asciiTheme="majorHAnsi" w:hAnsiTheme="majorHAnsi"/>
          <w:b/>
          <w:bCs/>
          <w:i/>
          <w:iCs/>
          <w:sz w:val="24"/>
          <w:szCs w:val="24"/>
        </w:rPr>
        <w:t>»</w:t>
      </w:r>
      <w:r w:rsidRPr="001E0163">
        <w:rPr>
          <w:rFonts w:asciiTheme="majorHAnsi" w:hAnsiTheme="majorHAnsi"/>
          <w:sz w:val="24"/>
          <w:szCs w:val="24"/>
        </w:rPr>
        <w:t>.</w:t>
      </w:r>
      <w:r>
        <w:rPr>
          <w:rFonts w:asciiTheme="majorHAnsi" w:hAnsiTheme="majorHAnsi"/>
          <w:sz w:val="24"/>
          <w:szCs w:val="24"/>
        </w:rPr>
        <w:t xml:space="preserve"> </w:t>
      </w:r>
    </w:p>
    <w:p w:rsidR="00CD515E" w:rsidRPr="00BB115E" w:rsidRDefault="00CD515E" w:rsidP="00DA266D">
      <w:pPr>
        <w:tabs>
          <w:tab w:val="left" w:pos="709"/>
        </w:tabs>
        <w:spacing w:before="120" w:after="120" w:line="360" w:lineRule="auto"/>
        <w:ind w:left="360"/>
        <w:jc w:val="both"/>
        <w:rPr>
          <w:rFonts w:asciiTheme="majorHAnsi" w:hAnsiTheme="majorHAnsi"/>
          <w:b/>
          <w:bCs/>
          <w:i/>
          <w:iCs/>
          <w:sz w:val="24"/>
          <w:szCs w:val="24"/>
        </w:rPr>
      </w:pPr>
      <w:r w:rsidRPr="00BB115E">
        <w:rPr>
          <w:rFonts w:asciiTheme="majorHAnsi" w:hAnsiTheme="majorHAnsi"/>
          <w:b/>
          <w:bCs/>
          <w:i/>
          <w:iCs/>
          <w:sz w:val="24"/>
          <w:szCs w:val="24"/>
        </w:rPr>
        <w:t>2-Les travaux d'installation</w:t>
      </w:r>
      <w:r>
        <w:rPr>
          <w:rFonts w:asciiTheme="majorHAnsi" w:hAnsiTheme="majorHAnsi"/>
          <w:b/>
          <w:bCs/>
          <w:i/>
          <w:iCs/>
          <w:sz w:val="24"/>
          <w:szCs w:val="24"/>
        </w:rPr>
        <w:t xml:space="preserve"> des équipements et de </w:t>
      </w:r>
      <w:r w:rsidR="00DA266D">
        <w:rPr>
          <w:rFonts w:asciiTheme="majorHAnsi" w:hAnsiTheme="majorHAnsi"/>
          <w:b/>
          <w:bCs/>
          <w:i/>
          <w:iCs/>
          <w:sz w:val="24"/>
          <w:szCs w:val="24"/>
        </w:rPr>
        <w:t>surveillance</w:t>
      </w:r>
    </w:p>
    <w:p w:rsidR="003E08DD" w:rsidRDefault="003E08DD" w:rsidP="003E08DD">
      <w:pPr>
        <w:tabs>
          <w:tab w:val="left" w:pos="709"/>
        </w:tabs>
        <w:spacing w:before="120" w:after="120" w:line="360" w:lineRule="auto"/>
        <w:ind w:left="360"/>
        <w:jc w:val="both"/>
        <w:rPr>
          <w:rFonts w:asciiTheme="majorHAnsi" w:hAnsiTheme="majorHAnsi"/>
          <w:b/>
          <w:bCs/>
          <w:i/>
          <w:iCs/>
          <w:sz w:val="24"/>
          <w:szCs w:val="24"/>
        </w:rPr>
      </w:pPr>
      <w:r w:rsidRPr="003E08DD">
        <w:rPr>
          <w:rFonts w:asciiTheme="majorHAnsi" w:hAnsiTheme="majorHAnsi"/>
          <w:b/>
          <w:bCs/>
          <w:i/>
          <w:iCs/>
          <w:sz w:val="24"/>
          <w:szCs w:val="24"/>
        </w:rPr>
        <w:t>En matière d’IS</w:t>
      </w:r>
    </w:p>
    <w:p w:rsidR="00CD515E" w:rsidRDefault="00CD515E" w:rsidP="00CD515E">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En vertu de l’article 5-</w:t>
      </w:r>
      <w:r>
        <w:rPr>
          <w:rFonts w:asciiTheme="majorHAnsi" w:hAnsiTheme="majorHAnsi"/>
          <w:sz w:val="24"/>
          <w:szCs w:val="24"/>
        </w:rPr>
        <w:t>2-g</w:t>
      </w:r>
      <w:r w:rsidRPr="00AA276B">
        <w:rPr>
          <w:rFonts w:asciiTheme="majorHAnsi" w:hAnsiTheme="majorHAnsi"/>
          <w:sz w:val="24"/>
          <w:szCs w:val="24"/>
        </w:rPr>
        <w:t xml:space="preserve"> de la convention de non double imposition </w:t>
      </w:r>
      <w:proofErr w:type="spellStart"/>
      <w:r>
        <w:rPr>
          <w:rFonts w:asciiTheme="majorHAnsi" w:hAnsiTheme="majorHAnsi"/>
          <w:sz w:val="24"/>
          <w:szCs w:val="24"/>
        </w:rPr>
        <w:t>T</w:t>
      </w:r>
      <w:r w:rsidRPr="00AA276B">
        <w:rPr>
          <w:rFonts w:asciiTheme="majorHAnsi" w:hAnsiTheme="majorHAnsi"/>
          <w:sz w:val="24"/>
          <w:szCs w:val="24"/>
        </w:rPr>
        <w:t>uniso</w:t>
      </w:r>
      <w:proofErr w:type="spellEnd"/>
      <w:r>
        <w:rPr>
          <w:rFonts w:asciiTheme="majorHAnsi" w:hAnsiTheme="majorHAnsi"/>
          <w:sz w:val="24"/>
          <w:szCs w:val="24"/>
        </w:rPr>
        <w:t>-Espagnole</w:t>
      </w:r>
      <w:r w:rsidRPr="00AA276B">
        <w:rPr>
          <w:rFonts w:asciiTheme="majorHAnsi" w:hAnsiTheme="majorHAnsi"/>
          <w:sz w:val="24"/>
          <w:szCs w:val="24"/>
        </w:rPr>
        <w:t>,</w:t>
      </w:r>
      <w:r>
        <w:rPr>
          <w:rFonts w:asciiTheme="majorHAnsi" w:hAnsiTheme="majorHAnsi"/>
          <w:sz w:val="24"/>
          <w:szCs w:val="24"/>
        </w:rPr>
        <w:t xml:space="preserve"> </w:t>
      </w:r>
      <w:r w:rsidRPr="00AA276B">
        <w:rPr>
          <w:rFonts w:asciiTheme="majorHAnsi" w:hAnsiTheme="majorHAnsi"/>
          <w:sz w:val="24"/>
          <w:szCs w:val="24"/>
        </w:rPr>
        <w:t xml:space="preserve">le terme </w:t>
      </w:r>
      <w:r w:rsidRPr="00F62BBA">
        <w:rPr>
          <w:rFonts w:asciiTheme="majorHAnsi" w:hAnsiTheme="majorHAnsi"/>
          <w:b/>
          <w:bCs/>
          <w:i/>
          <w:iCs/>
          <w:sz w:val="24"/>
          <w:szCs w:val="24"/>
        </w:rPr>
        <w:t>«établissement stable»</w:t>
      </w:r>
      <w:r w:rsidRPr="00AA276B">
        <w:rPr>
          <w:rFonts w:asciiTheme="majorHAnsi" w:hAnsiTheme="majorHAnsi"/>
          <w:sz w:val="24"/>
          <w:szCs w:val="24"/>
        </w:rPr>
        <w:t xml:space="preserve"> comprend les chantiers de</w:t>
      </w:r>
      <w:r>
        <w:rPr>
          <w:rFonts w:asciiTheme="majorHAnsi" w:hAnsiTheme="majorHAnsi"/>
          <w:sz w:val="24"/>
          <w:szCs w:val="24"/>
        </w:rPr>
        <w:t xml:space="preserve"> construction lorsque leur </w:t>
      </w:r>
      <w:r w:rsidRPr="00AA276B">
        <w:rPr>
          <w:rFonts w:asciiTheme="majorHAnsi" w:hAnsiTheme="majorHAnsi"/>
          <w:sz w:val="24"/>
          <w:szCs w:val="24"/>
        </w:rPr>
        <w:t xml:space="preserve">durée est </w:t>
      </w:r>
      <w:r w:rsidRPr="00486E79">
        <w:rPr>
          <w:rFonts w:asciiTheme="majorHAnsi" w:hAnsiTheme="majorHAnsi"/>
          <w:b/>
          <w:bCs/>
          <w:i/>
          <w:iCs/>
          <w:sz w:val="24"/>
          <w:szCs w:val="24"/>
        </w:rPr>
        <w:t>supérieure à</w:t>
      </w:r>
      <w:r w:rsidRPr="00AA276B">
        <w:rPr>
          <w:rFonts w:asciiTheme="majorHAnsi" w:hAnsiTheme="majorHAnsi"/>
          <w:sz w:val="24"/>
          <w:szCs w:val="24"/>
        </w:rPr>
        <w:t xml:space="preserve"> </w:t>
      </w:r>
      <w:r w:rsidRPr="0065670B">
        <w:rPr>
          <w:rFonts w:asciiTheme="majorHAnsi" w:hAnsiTheme="majorHAnsi"/>
          <w:b/>
          <w:bCs/>
          <w:i/>
          <w:iCs/>
          <w:sz w:val="24"/>
          <w:szCs w:val="24"/>
        </w:rPr>
        <w:t>9 mois</w:t>
      </w:r>
      <w:r>
        <w:rPr>
          <w:rFonts w:asciiTheme="majorHAnsi" w:hAnsiTheme="majorHAnsi"/>
          <w:sz w:val="24"/>
          <w:szCs w:val="24"/>
        </w:rPr>
        <w:t xml:space="preserve">, ou lorsque ces opérations temporaires de montage ou des activités de surveillances faisant suite à la vente de machines ou des équipements par la même entreprise ont une durée </w:t>
      </w:r>
      <w:r w:rsidRPr="00486E79">
        <w:rPr>
          <w:rFonts w:asciiTheme="majorHAnsi" w:hAnsiTheme="majorHAnsi"/>
          <w:b/>
          <w:bCs/>
          <w:i/>
          <w:iCs/>
          <w:sz w:val="24"/>
          <w:szCs w:val="24"/>
        </w:rPr>
        <w:t>supérieure à</w:t>
      </w:r>
      <w:r>
        <w:rPr>
          <w:rFonts w:asciiTheme="majorHAnsi" w:hAnsiTheme="majorHAnsi"/>
          <w:sz w:val="24"/>
          <w:szCs w:val="24"/>
        </w:rPr>
        <w:t xml:space="preserve"> </w:t>
      </w:r>
      <w:r w:rsidRPr="0065670B">
        <w:rPr>
          <w:rFonts w:asciiTheme="majorHAnsi" w:hAnsiTheme="majorHAnsi"/>
          <w:b/>
          <w:bCs/>
          <w:i/>
          <w:iCs/>
          <w:sz w:val="24"/>
          <w:szCs w:val="24"/>
        </w:rPr>
        <w:t>trois mois</w:t>
      </w:r>
      <w:r>
        <w:rPr>
          <w:rFonts w:asciiTheme="majorHAnsi" w:hAnsiTheme="majorHAnsi"/>
          <w:sz w:val="24"/>
          <w:szCs w:val="24"/>
        </w:rPr>
        <w:t xml:space="preserve"> et que les </w:t>
      </w:r>
      <w:r w:rsidRPr="00706EE4">
        <w:rPr>
          <w:rFonts w:asciiTheme="majorHAnsi" w:hAnsiTheme="majorHAnsi"/>
          <w:b/>
          <w:bCs/>
          <w:i/>
          <w:iCs/>
          <w:sz w:val="24"/>
          <w:szCs w:val="24"/>
        </w:rPr>
        <w:t>frais de montage ou de surveillance dépassent 10%</w:t>
      </w:r>
      <w:r>
        <w:rPr>
          <w:rFonts w:asciiTheme="majorHAnsi" w:hAnsiTheme="majorHAnsi"/>
          <w:sz w:val="24"/>
          <w:szCs w:val="24"/>
        </w:rPr>
        <w:t xml:space="preserve"> du prix de ces machines ou équipements. </w:t>
      </w:r>
    </w:p>
    <w:p w:rsidR="00CD515E" w:rsidRDefault="00CD515E" w:rsidP="00F62BBA">
      <w:pPr>
        <w:tabs>
          <w:tab w:val="left" w:pos="709"/>
        </w:tabs>
        <w:spacing w:before="120" w:after="120" w:line="360" w:lineRule="auto"/>
        <w:jc w:val="both"/>
        <w:rPr>
          <w:rFonts w:asciiTheme="majorHAnsi" w:hAnsiTheme="majorHAnsi"/>
          <w:sz w:val="24"/>
          <w:szCs w:val="24"/>
        </w:rPr>
      </w:pPr>
      <w:r w:rsidRPr="00CD515E">
        <w:rPr>
          <w:rFonts w:asciiTheme="majorHAnsi" w:hAnsiTheme="majorHAnsi"/>
          <w:sz w:val="24"/>
          <w:szCs w:val="24"/>
        </w:rPr>
        <w:t>En</w:t>
      </w:r>
      <w:r>
        <w:rPr>
          <w:rFonts w:asciiTheme="majorHAnsi" w:hAnsiTheme="majorHAnsi"/>
          <w:sz w:val="24"/>
          <w:szCs w:val="24"/>
        </w:rPr>
        <w:t xml:space="preserve"> vertu de l’article </w:t>
      </w:r>
      <w:r w:rsidRPr="00AA276B">
        <w:rPr>
          <w:rFonts w:asciiTheme="majorHAnsi" w:hAnsiTheme="majorHAnsi"/>
          <w:sz w:val="24"/>
          <w:szCs w:val="24"/>
        </w:rPr>
        <w:t>5-</w:t>
      </w:r>
      <w:r>
        <w:rPr>
          <w:rFonts w:asciiTheme="majorHAnsi" w:hAnsiTheme="majorHAnsi"/>
          <w:sz w:val="24"/>
          <w:szCs w:val="24"/>
        </w:rPr>
        <w:t>2-g</w:t>
      </w:r>
      <w:r w:rsidRPr="00AA276B">
        <w:rPr>
          <w:rFonts w:asciiTheme="majorHAnsi" w:hAnsiTheme="majorHAnsi"/>
          <w:sz w:val="24"/>
          <w:szCs w:val="24"/>
        </w:rPr>
        <w:t xml:space="preserve"> de la convention de non double imposition </w:t>
      </w:r>
      <w:proofErr w:type="spellStart"/>
      <w:r>
        <w:rPr>
          <w:rFonts w:asciiTheme="majorHAnsi" w:hAnsiTheme="majorHAnsi"/>
          <w:sz w:val="24"/>
          <w:szCs w:val="24"/>
        </w:rPr>
        <w:t>T</w:t>
      </w:r>
      <w:r w:rsidRPr="00AA276B">
        <w:rPr>
          <w:rFonts w:asciiTheme="majorHAnsi" w:hAnsiTheme="majorHAnsi"/>
          <w:sz w:val="24"/>
          <w:szCs w:val="24"/>
        </w:rPr>
        <w:t>uniso</w:t>
      </w:r>
      <w:proofErr w:type="spellEnd"/>
      <w:r>
        <w:rPr>
          <w:rFonts w:asciiTheme="majorHAnsi" w:hAnsiTheme="majorHAnsi"/>
          <w:sz w:val="24"/>
          <w:szCs w:val="24"/>
        </w:rPr>
        <w:t>-Espagnole</w:t>
      </w:r>
      <w:r w:rsidR="00DA266D">
        <w:rPr>
          <w:rFonts w:asciiTheme="majorHAnsi" w:hAnsiTheme="majorHAnsi"/>
          <w:sz w:val="24"/>
          <w:szCs w:val="24"/>
        </w:rPr>
        <w:t xml:space="preserve">, la société </w:t>
      </w:r>
      <w:r w:rsidR="00DA266D" w:rsidRPr="00F62BBA">
        <w:rPr>
          <w:rFonts w:asciiTheme="majorHAnsi" w:hAnsiTheme="majorHAnsi"/>
          <w:b/>
          <w:bCs/>
          <w:i/>
          <w:iCs/>
          <w:sz w:val="24"/>
          <w:szCs w:val="24"/>
        </w:rPr>
        <w:t>«HMD»</w:t>
      </w:r>
      <w:r w:rsidR="00DA266D">
        <w:rPr>
          <w:rFonts w:asciiTheme="majorHAnsi" w:hAnsiTheme="majorHAnsi"/>
          <w:sz w:val="24"/>
          <w:szCs w:val="24"/>
        </w:rPr>
        <w:t xml:space="preserve"> n’est pas considérée comme étant établie en Tunisie du faite que les travaux exécuté en Tunisie ont une durée totale n’excède pas 3 mois </w:t>
      </w:r>
      <w:r w:rsidR="00DA266D" w:rsidRPr="00AA276B">
        <w:rPr>
          <w:rFonts w:asciiTheme="majorHAnsi" w:hAnsiTheme="majorHAnsi"/>
          <w:sz w:val="24"/>
          <w:szCs w:val="24"/>
        </w:rPr>
        <w:t xml:space="preserve">et </w:t>
      </w:r>
      <w:r w:rsidR="00DA266D">
        <w:rPr>
          <w:rFonts w:asciiTheme="majorHAnsi" w:hAnsiTheme="majorHAnsi"/>
          <w:sz w:val="24"/>
          <w:szCs w:val="24"/>
        </w:rPr>
        <w:t xml:space="preserve">ne </w:t>
      </w:r>
      <w:r w:rsidR="00DA266D" w:rsidRPr="00AA276B">
        <w:rPr>
          <w:rFonts w:asciiTheme="majorHAnsi" w:hAnsiTheme="majorHAnsi"/>
          <w:sz w:val="24"/>
          <w:szCs w:val="24"/>
        </w:rPr>
        <w:t xml:space="preserve">sera donc </w:t>
      </w:r>
      <w:r w:rsidR="00DA266D">
        <w:rPr>
          <w:rFonts w:asciiTheme="majorHAnsi" w:hAnsiTheme="majorHAnsi"/>
          <w:sz w:val="24"/>
          <w:szCs w:val="24"/>
        </w:rPr>
        <w:t xml:space="preserve">passible d’aucune imposition en Tunisie. </w:t>
      </w:r>
      <w:r>
        <w:rPr>
          <w:rFonts w:asciiTheme="majorHAnsi" w:hAnsiTheme="majorHAnsi"/>
          <w:sz w:val="24"/>
          <w:szCs w:val="24"/>
        </w:rPr>
        <w:t xml:space="preserve"> </w:t>
      </w:r>
      <w:r w:rsidRPr="00CD515E">
        <w:rPr>
          <w:rFonts w:asciiTheme="majorHAnsi" w:hAnsiTheme="majorHAnsi"/>
          <w:sz w:val="24"/>
          <w:szCs w:val="24"/>
        </w:rPr>
        <w:t xml:space="preserve"> </w:t>
      </w:r>
    </w:p>
    <w:p w:rsidR="009571A0" w:rsidRPr="00CD515E" w:rsidRDefault="009571A0" w:rsidP="00F62BBA">
      <w:pPr>
        <w:tabs>
          <w:tab w:val="left" w:pos="709"/>
        </w:tabs>
        <w:spacing w:before="120" w:after="120" w:line="360" w:lineRule="auto"/>
        <w:jc w:val="both"/>
        <w:rPr>
          <w:rFonts w:asciiTheme="majorHAnsi" w:hAnsiTheme="majorHAnsi"/>
          <w:sz w:val="24"/>
          <w:szCs w:val="24"/>
        </w:rPr>
      </w:pPr>
    </w:p>
    <w:p w:rsidR="003E08DD" w:rsidRPr="00621EAB" w:rsidRDefault="003E08DD" w:rsidP="003E08DD">
      <w:pPr>
        <w:tabs>
          <w:tab w:val="left" w:pos="709"/>
        </w:tabs>
        <w:spacing w:before="120" w:after="120" w:line="360" w:lineRule="auto"/>
        <w:ind w:left="360"/>
        <w:jc w:val="both"/>
        <w:rPr>
          <w:rFonts w:asciiTheme="majorHAnsi" w:hAnsiTheme="majorHAnsi"/>
          <w:b/>
          <w:bCs/>
          <w:i/>
          <w:iCs/>
          <w:sz w:val="24"/>
          <w:szCs w:val="24"/>
        </w:rPr>
      </w:pPr>
      <w:r w:rsidRPr="00621EAB">
        <w:rPr>
          <w:rFonts w:asciiTheme="majorHAnsi" w:hAnsiTheme="majorHAnsi"/>
          <w:b/>
          <w:bCs/>
          <w:i/>
          <w:iCs/>
          <w:sz w:val="24"/>
          <w:szCs w:val="24"/>
        </w:rPr>
        <w:lastRenderedPageBreak/>
        <w:t>En matière de TVA</w:t>
      </w:r>
    </w:p>
    <w:p w:rsidR="003E08DD" w:rsidRDefault="003E08DD" w:rsidP="003E08DD">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Les rémunérations sont la contrepartie d’un service consommé en Tunisie,</w:t>
      </w:r>
      <w:r>
        <w:rPr>
          <w:rFonts w:asciiTheme="majorHAnsi" w:hAnsiTheme="majorHAnsi"/>
          <w:sz w:val="24"/>
          <w:szCs w:val="24"/>
        </w:rPr>
        <w:t xml:space="preserve"> </w:t>
      </w:r>
      <w:r w:rsidRPr="00AA276B">
        <w:rPr>
          <w:rFonts w:asciiTheme="majorHAnsi" w:hAnsiTheme="majorHAnsi"/>
          <w:sz w:val="24"/>
          <w:szCs w:val="24"/>
        </w:rPr>
        <w:t>elles rentrent donc dans le champ d’application territoriale de la TVA qui est</w:t>
      </w:r>
      <w:r>
        <w:rPr>
          <w:rFonts w:asciiTheme="majorHAnsi" w:hAnsiTheme="majorHAnsi"/>
          <w:sz w:val="24"/>
          <w:szCs w:val="24"/>
        </w:rPr>
        <w:t xml:space="preserve"> </w:t>
      </w:r>
      <w:r w:rsidRPr="00AA276B">
        <w:rPr>
          <w:rFonts w:asciiTheme="majorHAnsi" w:hAnsiTheme="majorHAnsi"/>
          <w:sz w:val="24"/>
          <w:szCs w:val="24"/>
        </w:rPr>
        <w:t>due au taux de 1</w:t>
      </w:r>
      <w:r>
        <w:rPr>
          <w:rFonts w:asciiTheme="majorHAnsi" w:hAnsiTheme="majorHAnsi"/>
          <w:sz w:val="24"/>
          <w:szCs w:val="24"/>
        </w:rPr>
        <w:t xml:space="preserve">8 </w:t>
      </w:r>
      <w:r w:rsidRPr="00AA276B">
        <w:rPr>
          <w:rFonts w:asciiTheme="majorHAnsi" w:hAnsiTheme="majorHAnsi"/>
          <w:sz w:val="24"/>
          <w:szCs w:val="24"/>
        </w:rPr>
        <w:t>%.</w:t>
      </w:r>
    </w:p>
    <w:p w:rsidR="003E08DD" w:rsidRDefault="003E08DD" w:rsidP="00F62BBA">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Etant non établie en Tunisie, la société </w:t>
      </w:r>
      <w:r w:rsidRPr="00295461">
        <w:rPr>
          <w:rFonts w:asciiTheme="majorHAnsi" w:hAnsiTheme="majorHAnsi"/>
          <w:b/>
          <w:bCs/>
          <w:i/>
          <w:iCs/>
          <w:sz w:val="24"/>
          <w:szCs w:val="24"/>
        </w:rPr>
        <w:t>«</w:t>
      </w:r>
      <w:r w:rsidR="00DA266D">
        <w:rPr>
          <w:rFonts w:asciiTheme="majorHAnsi" w:hAnsiTheme="majorHAnsi"/>
          <w:b/>
          <w:bCs/>
          <w:i/>
          <w:iCs/>
          <w:sz w:val="24"/>
          <w:szCs w:val="24"/>
        </w:rPr>
        <w:t>HMD</w:t>
      </w:r>
      <w:r w:rsidRPr="00295461">
        <w:rPr>
          <w:rFonts w:asciiTheme="majorHAnsi" w:hAnsiTheme="majorHAnsi"/>
          <w:b/>
          <w:bCs/>
          <w:i/>
          <w:iCs/>
          <w:sz w:val="24"/>
          <w:szCs w:val="24"/>
        </w:rPr>
        <w:t>»</w:t>
      </w:r>
      <w:r w:rsidRPr="00295461">
        <w:rPr>
          <w:rFonts w:asciiTheme="majorHAnsi" w:hAnsiTheme="majorHAnsi"/>
          <w:sz w:val="24"/>
          <w:szCs w:val="24"/>
        </w:rPr>
        <w:t xml:space="preserve"> </w:t>
      </w:r>
      <w:r w:rsidRPr="004139EE">
        <w:rPr>
          <w:rFonts w:asciiTheme="majorHAnsi" w:hAnsiTheme="majorHAnsi"/>
          <w:sz w:val="24"/>
          <w:szCs w:val="24"/>
        </w:rPr>
        <w:t xml:space="preserve">sera soumise </w:t>
      </w:r>
      <w:r>
        <w:rPr>
          <w:rFonts w:asciiTheme="majorHAnsi" w:hAnsiTheme="majorHAnsi"/>
          <w:sz w:val="24"/>
          <w:szCs w:val="24"/>
        </w:rPr>
        <w:t>à</w:t>
      </w:r>
      <w:r w:rsidRPr="004139EE">
        <w:rPr>
          <w:rFonts w:asciiTheme="majorHAnsi" w:hAnsiTheme="majorHAnsi"/>
          <w:sz w:val="24"/>
          <w:szCs w:val="24"/>
        </w:rPr>
        <w:t xml:space="preserve"> la retenue </w:t>
      </w:r>
      <w:r>
        <w:rPr>
          <w:rFonts w:asciiTheme="majorHAnsi" w:hAnsiTheme="majorHAnsi"/>
          <w:sz w:val="24"/>
          <w:szCs w:val="24"/>
        </w:rPr>
        <w:t>à</w:t>
      </w:r>
      <w:r w:rsidRPr="004139EE">
        <w:rPr>
          <w:rFonts w:asciiTheme="majorHAnsi" w:hAnsiTheme="majorHAnsi"/>
          <w:sz w:val="24"/>
          <w:szCs w:val="24"/>
        </w:rPr>
        <w:t xml:space="preserve"> la source au titre de la TVA au taux de 100%, et ceux conformément aux dispositions de l’article 19 du code TVA qui stipule</w:t>
      </w:r>
      <w:r>
        <w:rPr>
          <w:rFonts w:asciiTheme="majorHAnsi" w:hAnsiTheme="majorHAnsi"/>
          <w:sz w:val="24"/>
          <w:szCs w:val="24"/>
        </w:rPr>
        <w:t> :</w:t>
      </w:r>
      <w:r w:rsidRPr="004139EE">
        <w:rPr>
          <w:rFonts w:asciiTheme="majorHAnsi" w:hAnsiTheme="majorHAnsi"/>
          <w:sz w:val="24"/>
          <w:szCs w:val="24"/>
        </w:rPr>
        <w:t xml:space="preserve"> « </w:t>
      </w:r>
      <w:r w:rsidRPr="00436061">
        <w:rPr>
          <w:rFonts w:asciiTheme="majorHAnsi" w:hAnsiTheme="majorHAnsi"/>
          <w:sz w:val="24"/>
          <w:szCs w:val="24"/>
        </w:rPr>
        <w:t xml:space="preserve">en cas de réalisation par les personnes morales et les personne physiques n’ayant pas d’établissement en Tunisie d’opérations soumises </w:t>
      </w:r>
      <w:r>
        <w:rPr>
          <w:rFonts w:asciiTheme="majorHAnsi" w:hAnsiTheme="majorHAnsi"/>
          <w:sz w:val="24"/>
          <w:szCs w:val="24"/>
        </w:rPr>
        <w:t>à</w:t>
      </w:r>
      <w:r w:rsidRPr="00436061">
        <w:rPr>
          <w:rFonts w:asciiTheme="majorHAnsi" w:hAnsiTheme="majorHAnsi"/>
          <w:sz w:val="24"/>
          <w:szCs w:val="24"/>
        </w:rPr>
        <w:t xml:space="preserve"> la taxe sur la valeur ajouté, </w:t>
      </w:r>
      <w:r w:rsidRPr="00436061">
        <w:rPr>
          <w:rFonts w:asciiTheme="majorHAnsi" w:hAnsiTheme="majorHAnsi"/>
          <w:b/>
          <w:bCs/>
          <w:i/>
          <w:iCs/>
          <w:sz w:val="24"/>
          <w:szCs w:val="24"/>
        </w:rPr>
        <w:t>leurs clients</w:t>
      </w:r>
      <w:r w:rsidRPr="00436061">
        <w:rPr>
          <w:rFonts w:asciiTheme="majorHAnsi" w:hAnsiTheme="majorHAnsi"/>
          <w:sz w:val="24"/>
          <w:szCs w:val="24"/>
        </w:rPr>
        <w:t xml:space="preserve"> sont tenus de </w:t>
      </w:r>
      <w:r w:rsidRPr="00427628">
        <w:rPr>
          <w:rFonts w:asciiTheme="majorHAnsi" w:hAnsiTheme="majorHAnsi"/>
          <w:b/>
          <w:bCs/>
          <w:i/>
          <w:iCs/>
          <w:sz w:val="24"/>
          <w:szCs w:val="24"/>
        </w:rPr>
        <w:t>retenir</w:t>
      </w:r>
      <w:r w:rsidRPr="00436061">
        <w:rPr>
          <w:rFonts w:asciiTheme="majorHAnsi" w:hAnsiTheme="majorHAnsi"/>
          <w:sz w:val="24"/>
          <w:szCs w:val="24"/>
        </w:rPr>
        <w:t xml:space="preserve"> la taxe sur la valeur ajouté</w:t>
      </w:r>
      <w:r>
        <w:rPr>
          <w:rFonts w:asciiTheme="majorHAnsi" w:hAnsiTheme="majorHAnsi"/>
          <w:sz w:val="24"/>
          <w:szCs w:val="24"/>
        </w:rPr>
        <w:t>e</w:t>
      </w:r>
      <w:r w:rsidRPr="00436061">
        <w:rPr>
          <w:rFonts w:asciiTheme="majorHAnsi" w:hAnsiTheme="majorHAnsi"/>
          <w:sz w:val="24"/>
          <w:szCs w:val="24"/>
        </w:rPr>
        <w:t xml:space="preserve"> d</w:t>
      </w:r>
      <w:r>
        <w:rPr>
          <w:rFonts w:asciiTheme="majorHAnsi" w:hAnsiTheme="majorHAnsi"/>
          <w:sz w:val="24"/>
          <w:szCs w:val="24"/>
        </w:rPr>
        <w:t>û</w:t>
      </w:r>
      <w:r w:rsidRPr="00436061">
        <w:rPr>
          <w:rFonts w:asciiTheme="majorHAnsi" w:hAnsiTheme="majorHAnsi"/>
          <w:sz w:val="24"/>
          <w:szCs w:val="24"/>
        </w:rPr>
        <w:t xml:space="preserve"> au titre de ces opérations. Cette retenue est libératoire de ladite taxe</w:t>
      </w:r>
      <w:r w:rsidRPr="004139EE">
        <w:rPr>
          <w:rFonts w:asciiTheme="majorHAnsi" w:hAnsiTheme="majorHAnsi"/>
          <w:sz w:val="24"/>
          <w:szCs w:val="24"/>
        </w:rPr>
        <w:t> ». </w:t>
      </w:r>
    </w:p>
    <w:p w:rsidR="00DA266D" w:rsidRDefault="003E08DD" w:rsidP="00FF0380">
      <w:pPr>
        <w:tabs>
          <w:tab w:val="left" w:pos="709"/>
        </w:tabs>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 La TVA retenu à la source est déterminée comme suit</w:t>
      </w:r>
      <w:r w:rsidR="00DA266D">
        <w:rPr>
          <w:rFonts w:asciiTheme="majorHAnsi" w:hAnsiTheme="majorHAnsi"/>
          <w:sz w:val="24"/>
          <w:szCs w:val="24"/>
        </w:rPr>
        <w:t> :</w:t>
      </w:r>
    </w:p>
    <w:p w:rsidR="00DA266D" w:rsidRDefault="00DA266D" w:rsidP="0053117D">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 xml:space="preserve">-Les travaux d’instalation des équipements = 150.000,000 </w:t>
      </w:r>
      <w:proofErr w:type="spellStart"/>
      <w:r w:rsidR="0053117D">
        <w:rPr>
          <w:rFonts w:asciiTheme="majorHAnsi" w:hAnsiTheme="majorHAnsi" w:hint="cs"/>
          <w:sz w:val="24"/>
          <w:szCs w:val="24"/>
          <w:rtl/>
        </w:rPr>
        <w:t>×</w:t>
      </w:r>
      <w:proofErr w:type="spellEnd"/>
      <w:r>
        <w:rPr>
          <w:rFonts w:asciiTheme="majorHAnsi" w:hAnsiTheme="majorHAnsi"/>
          <w:sz w:val="24"/>
          <w:szCs w:val="24"/>
        </w:rPr>
        <w:t xml:space="preserve"> 0,18 = </w:t>
      </w:r>
      <w:r w:rsidR="00F62BBA">
        <w:rPr>
          <w:rFonts w:asciiTheme="majorHAnsi" w:hAnsiTheme="majorHAnsi"/>
          <w:sz w:val="24"/>
          <w:szCs w:val="24"/>
        </w:rPr>
        <w:t>27.000,000 TND</w:t>
      </w:r>
    </w:p>
    <w:p w:rsidR="00DA266D" w:rsidRDefault="00DA266D" w:rsidP="0053117D">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 xml:space="preserve">-La surveillance de l’opération de montage = 100.000,000 </w:t>
      </w:r>
      <w:proofErr w:type="spellStart"/>
      <w:r w:rsidR="0053117D">
        <w:rPr>
          <w:rFonts w:asciiTheme="majorHAnsi" w:hAnsiTheme="majorHAnsi" w:hint="cs"/>
          <w:sz w:val="24"/>
          <w:szCs w:val="24"/>
          <w:rtl/>
        </w:rPr>
        <w:t>×</w:t>
      </w:r>
      <w:proofErr w:type="spellEnd"/>
      <w:r>
        <w:rPr>
          <w:rFonts w:asciiTheme="majorHAnsi" w:hAnsiTheme="majorHAnsi"/>
          <w:sz w:val="24"/>
          <w:szCs w:val="24"/>
        </w:rPr>
        <w:t xml:space="preserve"> 0,18 = </w:t>
      </w:r>
      <w:r w:rsidR="00F62BBA">
        <w:rPr>
          <w:rFonts w:asciiTheme="majorHAnsi" w:hAnsiTheme="majorHAnsi"/>
          <w:sz w:val="24"/>
          <w:szCs w:val="24"/>
        </w:rPr>
        <w:t>18.000,000 TND</w:t>
      </w:r>
    </w:p>
    <w:p w:rsidR="006E0FF6" w:rsidRDefault="006E0FF6" w:rsidP="00F62BBA">
      <w:pPr>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Cependant, la société </w:t>
      </w:r>
      <w:r w:rsidRPr="00D75910">
        <w:rPr>
          <w:rFonts w:asciiTheme="majorHAnsi" w:hAnsiTheme="majorHAnsi"/>
          <w:b/>
          <w:bCs/>
          <w:i/>
          <w:iCs/>
          <w:sz w:val="24"/>
          <w:szCs w:val="24"/>
        </w:rPr>
        <w:t>«</w:t>
      </w:r>
      <w:r w:rsidR="00DA266D">
        <w:rPr>
          <w:rFonts w:asciiTheme="majorHAnsi" w:hAnsiTheme="majorHAnsi"/>
          <w:b/>
          <w:bCs/>
          <w:i/>
          <w:iCs/>
          <w:sz w:val="24"/>
          <w:szCs w:val="24"/>
        </w:rPr>
        <w:t>HMD</w:t>
      </w:r>
      <w:r w:rsidRPr="00D75910">
        <w:rPr>
          <w:rFonts w:asciiTheme="majorHAnsi" w:hAnsiTheme="majorHAnsi"/>
          <w:b/>
          <w:bCs/>
          <w:i/>
          <w:iCs/>
          <w:sz w:val="24"/>
          <w:szCs w:val="24"/>
        </w:rPr>
        <w:t>»</w:t>
      </w:r>
      <w:r w:rsidRPr="00295461">
        <w:rPr>
          <w:rFonts w:asciiTheme="majorHAnsi" w:hAnsiTheme="majorHAnsi"/>
          <w:sz w:val="24"/>
          <w:szCs w:val="24"/>
        </w:rPr>
        <w:t xml:space="preserve"> </w:t>
      </w:r>
      <w:r w:rsidRPr="00AA276B">
        <w:rPr>
          <w:rFonts w:asciiTheme="majorHAnsi" w:hAnsiTheme="majorHAnsi"/>
          <w:sz w:val="24"/>
          <w:szCs w:val="24"/>
        </w:rPr>
        <w:t xml:space="preserve">peut toujours </w:t>
      </w:r>
      <w:r w:rsidRPr="006E0FF6">
        <w:rPr>
          <w:rFonts w:asciiTheme="majorHAnsi" w:hAnsiTheme="majorHAnsi"/>
          <w:sz w:val="24"/>
          <w:szCs w:val="24"/>
        </w:rPr>
        <w:t xml:space="preserve">opter </w:t>
      </w:r>
      <w:r w:rsidRPr="00AA276B">
        <w:rPr>
          <w:rFonts w:asciiTheme="majorHAnsi" w:hAnsiTheme="majorHAnsi"/>
          <w:sz w:val="24"/>
          <w:szCs w:val="24"/>
        </w:rPr>
        <w:t>pour son</w:t>
      </w:r>
      <w:r>
        <w:rPr>
          <w:rFonts w:asciiTheme="majorHAnsi" w:hAnsiTheme="majorHAnsi"/>
          <w:sz w:val="24"/>
          <w:szCs w:val="24"/>
        </w:rPr>
        <w:t xml:space="preserve"> </w:t>
      </w:r>
      <w:r w:rsidRPr="00AA276B">
        <w:rPr>
          <w:rFonts w:asciiTheme="majorHAnsi" w:hAnsiTheme="majorHAnsi"/>
          <w:sz w:val="24"/>
          <w:szCs w:val="24"/>
        </w:rPr>
        <w:t>assujettissement à la TVA selon le régime de droit commun. Dans ce cas</w:t>
      </w:r>
      <w:r>
        <w:rPr>
          <w:rFonts w:asciiTheme="majorHAnsi" w:hAnsiTheme="majorHAnsi"/>
          <w:sz w:val="24"/>
          <w:szCs w:val="24"/>
        </w:rPr>
        <w:t>,</w:t>
      </w:r>
      <w:r w:rsidRPr="00AA276B">
        <w:rPr>
          <w:rFonts w:asciiTheme="majorHAnsi" w:hAnsiTheme="majorHAnsi"/>
          <w:sz w:val="24"/>
          <w:szCs w:val="24"/>
        </w:rPr>
        <w:t xml:space="preserve"> elle</w:t>
      </w:r>
      <w:r>
        <w:rPr>
          <w:rFonts w:asciiTheme="majorHAnsi" w:hAnsiTheme="majorHAnsi"/>
          <w:sz w:val="24"/>
          <w:szCs w:val="24"/>
        </w:rPr>
        <w:t xml:space="preserve"> </w:t>
      </w:r>
      <w:r w:rsidRPr="00AA276B">
        <w:rPr>
          <w:rFonts w:asciiTheme="majorHAnsi" w:hAnsiTheme="majorHAnsi"/>
          <w:sz w:val="24"/>
          <w:szCs w:val="24"/>
        </w:rPr>
        <w:t>bénéficie de la déduction de la TVA ayant grevé les marchandises et les services</w:t>
      </w:r>
      <w:r>
        <w:rPr>
          <w:rFonts w:asciiTheme="majorHAnsi" w:hAnsiTheme="majorHAnsi"/>
          <w:sz w:val="24"/>
          <w:szCs w:val="24"/>
        </w:rPr>
        <w:t xml:space="preserve"> </w:t>
      </w:r>
      <w:r w:rsidRPr="00AA276B">
        <w:rPr>
          <w:rFonts w:asciiTheme="majorHAnsi" w:hAnsiTheme="majorHAnsi"/>
          <w:sz w:val="24"/>
          <w:szCs w:val="24"/>
        </w:rPr>
        <w:t>nécessaires à la réalisation des opérations soumises à ladite taxe. En cas</w:t>
      </w:r>
      <w:r>
        <w:rPr>
          <w:rFonts w:asciiTheme="majorHAnsi" w:hAnsiTheme="majorHAnsi"/>
          <w:sz w:val="24"/>
          <w:szCs w:val="24"/>
        </w:rPr>
        <w:t xml:space="preserve"> </w:t>
      </w:r>
      <w:r w:rsidRPr="00AA276B">
        <w:rPr>
          <w:rFonts w:asciiTheme="majorHAnsi" w:hAnsiTheme="majorHAnsi"/>
          <w:sz w:val="24"/>
          <w:szCs w:val="24"/>
        </w:rPr>
        <w:t>d’apparition d’un crédit de taxe, ce dernier est remboursable conformément à la</w:t>
      </w:r>
      <w:r>
        <w:rPr>
          <w:rFonts w:asciiTheme="majorHAnsi" w:hAnsiTheme="majorHAnsi"/>
          <w:sz w:val="24"/>
          <w:szCs w:val="24"/>
        </w:rPr>
        <w:t xml:space="preserve"> </w:t>
      </w:r>
      <w:r w:rsidRPr="00AA276B">
        <w:rPr>
          <w:rFonts w:asciiTheme="majorHAnsi" w:hAnsiTheme="majorHAnsi"/>
          <w:sz w:val="24"/>
          <w:szCs w:val="24"/>
        </w:rPr>
        <w:t>législation en vigueur</w:t>
      </w:r>
      <w:r>
        <w:rPr>
          <w:rFonts w:asciiTheme="majorHAnsi" w:hAnsiTheme="majorHAnsi"/>
          <w:sz w:val="24"/>
          <w:szCs w:val="24"/>
        </w:rPr>
        <w:t>.</w:t>
      </w:r>
    </w:p>
    <w:p w:rsidR="00130FB3" w:rsidRDefault="00130FB3" w:rsidP="00130FB3">
      <w:pPr>
        <w:pStyle w:val="Paragraphedeliste"/>
        <w:numPr>
          <w:ilvl w:val="0"/>
          <w:numId w:val="35"/>
        </w:numPr>
        <w:spacing w:before="120" w:after="120" w:line="360" w:lineRule="auto"/>
        <w:jc w:val="both"/>
        <w:rPr>
          <w:rFonts w:asciiTheme="majorHAnsi" w:hAnsiTheme="majorHAnsi"/>
          <w:b/>
          <w:bCs/>
          <w:i/>
          <w:iCs/>
          <w:sz w:val="24"/>
          <w:szCs w:val="24"/>
        </w:rPr>
      </w:pPr>
      <w:r>
        <w:rPr>
          <w:rFonts w:asciiTheme="majorHAnsi" w:hAnsiTheme="majorHAnsi"/>
          <w:b/>
          <w:bCs/>
          <w:i/>
          <w:iCs/>
          <w:sz w:val="24"/>
          <w:szCs w:val="24"/>
        </w:rPr>
        <w:t>Utilisation d’un logiciel</w:t>
      </w:r>
      <w:r w:rsidR="00980C6F">
        <w:rPr>
          <w:rFonts w:asciiTheme="majorHAnsi" w:hAnsiTheme="majorHAnsi"/>
          <w:b/>
          <w:bCs/>
          <w:i/>
          <w:iCs/>
          <w:sz w:val="24"/>
          <w:szCs w:val="24"/>
        </w:rPr>
        <w:t xml:space="preserve"> informatique</w:t>
      </w:r>
    </w:p>
    <w:p w:rsidR="00BD303B" w:rsidRPr="00BD303B" w:rsidRDefault="00BD303B" w:rsidP="00BD303B">
      <w:pPr>
        <w:tabs>
          <w:tab w:val="left" w:pos="709"/>
        </w:tabs>
        <w:spacing w:before="120" w:after="120" w:line="360" w:lineRule="auto"/>
        <w:ind w:left="360"/>
        <w:jc w:val="both"/>
        <w:rPr>
          <w:rFonts w:asciiTheme="majorHAnsi" w:hAnsiTheme="majorHAnsi"/>
          <w:b/>
          <w:bCs/>
          <w:i/>
          <w:iCs/>
          <w:sz w:val="24"/>
          <w:szCs w:val="24"/>
        </w:rPr>
      </w:pPr>
      <w:r w:rsidRPr="00BD303B">
        <w:rPr>
          <w:rFonts w:asciiTheme="majorHAnsi" w:hAnsiTheme="majorHAnsi"/>
          <w:b/>
          <w:bCs/>
          <w:i/>
          <w:iCs/>
          <w:sz w:val="24"/>
          <w:szCs w:val="24"/>
        </w:rPr>
        <w:t>En matière des droits d’enregistrement</w:t>
      </w:r>
    </w:p>
    <w:p w:rsidR="00BD303B" w:rsidRPr="00BD303B" w:rsidRDefault="00BD303B" w:rsidP="00BD303B">
      <w:pPr>
        <w:spacing w:before="120" w:after="120" w:line="360" w:lineRule="auto"/>
        <w:jc w:val="both"/>
        <w:rPr>
          <w:rFonts w:asciiTheme="majorHAnsi" w:hAnsiTheme="majorHAnsi"/>
          <w:sz w:val="24"/>
          <w:szCs w:val="24"/>
        </w:rPr>
      </w:pPr>
      <w:r>
        <w:rPr>
          <w:rFonts w:asciiTheme="majorHAnsi" w:hAnsiTheme="majorHAnsi"/>
          <w:sz w:val="24"/>
          <w:szCs w:val="24"/>
        </w:rPr>
        <w:t xml:space="preserve">En cas ou un contrat portant sur un droit d’utilisation d’un logiciel informatique et de maintenance a été établi </w:t>
      </w:r>
      <w:r w:rsidRPr="00BD303B">
        <w:rPr>
          <w:rFonts w:asciiTheme="majorHAnsi" w:hAnsiTheme="majorHAnsi"/>
          <w:sz w:val="24"/>
          <w:szCs w:val="24"/>
        </w:rPr>
        <w:t>avec</w:t>
      </w:r>
      <w:r>
        <w:rPr>
          <w:rFonts w:asciiTheme="majorHAnsi" w:hAnsiTheme="majorHAnsi"/>
          <w:sz w:val="24"/>
          <w:szCs w:val="24"/>
        </w:rPr>
        <w:t xml:space="preserve"> la</w:t>
      </w:r>
      <w:r w:rsidRPr="00BD303B">
        <w:rPr>
          <w:rFonts w:asciiTheme="majorHAnsi" w:hAnsiTheme="majorHAnsi"/>
          <w:sz w:val="24"/>
          <w:szCs w:val="24"/>
        </w:rPr>
        <w:t xml:space="preserve"> société résidente en </w:t>
      </w:r>
      <w:r>
        <w:rPr>
          <w:rFonts w:asciiTheme="majorHAnsi" w:hAnsiTheme="majorHAnsi"/>
          <w:sz w:val="24"/>
          <w:szCs w:val="24"/>
        </w:rPr>
        <w:t>Espagne un droit d’enregistrement est du</w:t>
      </w:r>
      <w:r w:rsidRPr="00BD303B">
        <w:rPr>
          <w:rFonts w:asciiTheme="majorHAnsi" w:hAnsiTheme="majorHAnsi"/>
          <w:sz w:val="24"/>
          <w:szCs w:val="24"/>
        </w:rPr>
        <w:t xml:space="preserve"> au droit fixe de 20 TND par page et par copie d’acte, avec un maximum de 2%, et ce quelque soit le lieu de sa conclusion.</w:t>
      </w:r>
    </w:p>
    <w:p w:rsidR="00BD303B" w:rsidRPr="00BD303B" w:rsidRDefault="00BD303B" w:rsidP="00BD303B">
      <w:pPr>
        <w:spacing w:before="120" w:after="120" w:line="360" w:lineRule="auto"/>
        <w:jc w:val="both"/>
        <w:rPr>
          <w:rFonts w:asciiTheme="majorHAnsi" w:hAnsiTheme="majorHAnsi"/>
        </w:rPr>
      </w:pPr>
      <w:r w:rsidRPr="00BD303B">
        <w:rPr>
          <w:rFonts w:asciiTheme="majorHAnsi" w:hAnsiTheme="majorHAnsi"/>
          <w:b/>
          <w:bCs/>
          <w:i/>
          <w:iCs/>
        </w:rPr>
        <w:t xml:space="preserve">Remarque : </w:t>
      </w:r>
      <w:r w:rsidRPr="00BD303B">
        <w:rPr>
          <w:rFonts w:asciiTheme="majorHAnsi" w:hAnsiTheme="majorHAnsi"/>
        </w:rPr>
        <w:t xml:space="preserve">D’après les articles 50 et 51 de la loi de finances pour 2013, le droit d’enregistrement exigible sur les marchés et concessions est liquidé sur la base de 0,5% de leur valeur y compris tous droits et taxes exigibles conformément à la législation en vigueur. </w:t>
      </w:r>
    </w:p>
    <w:p w:rsidR="009571A0" w:rsidRDefault="005B1910" w:rsidP="0091381C">
      <w:pPr>
        <w:tabs>
          <w:tab w:val="left" w:pos="709"/>
        </w:tabs>
        <w:spacing w:before="120" w:after="120" w:line="360" w:lineRule="auto"/>
        <w:ind w:left="360"/>
        <w:jc w:val="both"/>
        <w:rPr>
          <w:rFonts w:asciiTheme="majorHAnsi" w:hAnsiTheme="majorHAnsi"/>
          <w:b/>
          <w:bCs/>
          <w:i/>
          <w:iCs/>
          <w:sz w:val="24"/>
          <w:szCs w:val="24"/>
        </w:rPr>
      </w:pPr>
      <w:r>
        <w:rPr>
          <w:rFonts w:asciiTheme="majorHAnsi" w:hAnsiTheme="majorHAnsi"/>
          <w:b/>
          <w:bCs/>
          <w:i/>
          <w:iCs/>
          <w:sz w:val="24"/>
          <w:szCs w:val="24"/>
        </w:rPr>
        <w:t xml:space="preserve">   </w:t>
      </w:r>
    </w:p>
    <w:p w:rsidR="009571A0" w:rsidRDefault="009571A0" w:rsidP="0091381C">
      <w:pPr>
        <w:tabs>
          <w:tab w:val="left" w:pos="709"/>
        </w:tabs>
        <w:spacing w:before="120" w:after="120" w:line="360" w:lineRule="auto"/>
        <w:ind w:left="360"/>
        <w:jc w:val="both"/>
        <w:rPr>
          <w:rFonts w:asciiTheme="majorHAnsi" w:hAnsiTheme="majorHAnsi"/>
          <w:b/>
          <w:bCs/>
          <w:i/>
          <w:iCs/>
          <w:sz w:val="24"/>
          <w:szCs w:val="24"/>
        </w:rPr>
      </w:pPr>
    </w:p>
    <w:p w:rsidR="009571A0" w:rsidRDefault="009571A0" w:rsidP="0091381C">
      <w:pPr>
        <w:tabs>
          <w:tab w:val="left" w:pos="709"/>
        </w:tabs>
        <w:spacing w:before="120" w:after="120" w:line="360" w:lineRule="auto"/>
        <w:ind w:left="360"/>
        <w:jc w:val="both"/>
        <w:rPr>
          <w:rFonts w:asciiTheme="majorHAnsi" w:hAnsiTheme="majorHAnsi"/>
          <w:b/>
          <w:bCs/>
          <w:i/>
          <w:iCs/>
          <w:sz w:val="24"/>
          <w:szCs w:val="24"/>
        </w:rPr>
      </w:pPr>
    </w:p>
    <w:p w:rsidR="0091381C" w:rsidRPr="0091381C" w:rsidRDefault="005B1910" w:rsidP="0091381C">
      <w:pPr>
        <w:tabs>
          <w:tab w:val="left" w:pos="709"/>
        </w:tabs>
        <w:spacing w:before="120" w:after="120" w:line="360" w:lineRule="auto"/>
        <w:ind w:left="360"/>
        <w:jc w:val="both"/>
        <w:rPr>
          <w:rFonts w:asciiTheme="majorHAnsi" w:hAnsiTheme="majorHAnsi"/>
          <w:b/>
          <w:bCs/>
          <w:i/>
          <w:iCs/>
          <w:sz w:val="24"/>
          <w:szCs w:val="24"/>
        </w:rPr>
      </w:pPr>
      <w:r>
        <w:rPr>
          <w:rFonts w:asciiTheme="majorHAnsi" w:hAnsiTheme="majorHAnsi"/>
          <w:b/>
          <w:bCs/>
          <w:i/>
          <w:iCs/>
          <w:sz w:val="24"/>
          <w:szCs w:val="24"/>
        </w:rPr>
        <w:lastRenderedPageBreak/>
        <w:t xml:space="preserve"> </w:t>
      </w:r>
      <w:r w:rsidR="0091381C" w:rsidRPr="0091381C">
        <w:rPr>
          <w:rFonts w:asciiTheme="majorHAnsi" w:hAnsiTheme="majorHAnsi"/>
          <w:b/>
          <w:bCs/>
          <w:i/>
          <w:iCs/>
          <w:sz w:val="24"/>
          <w:szCs w:val="24"/>
        </w:rPr>
        <w:t>En matière d’IS</w:t>
      </w:r>
    </w:p>
    <w:p w:rsidR="005C395F" w:rsidRDefault="005C395F" w:rsidP="005C395F">
      <w:pPr>
        <w:spacing w:before="120" w:after="120" w:line="360" w:lineRule="auto"/>
        <w:jc w:val="both"/>
        <w:rPr>
          <w:rFonts w:asciiTheme="majorHAnsi" w:hAnsiTheme="majorHAnsi"/>
          <w:sz w:val="24"/>
          <w:szCs w:val="24"/>
        </w:rPr>
      </w:pPr>
      <w:r w:rsidRPr="005C395F">
        <w:rPr>
          <w:rFonts w:asciiTheme="majorHAnsi" w:hAnsiTheme="majorHAnsi"/>
          <w:sz w:val="24"/>
          <w:szCs w:val="24"/>
        </w:rPr>
        <w:t xml:space="preserve">Selon les § 12 à 17 des commentaires de l'article 12 de la convention modèle de l'OCDE, </w:t>
      </w:r>
      <w:r>
        <w:rPr>
          <w:rFonts w:asciiTheme="majorHAnsi" w:hAnsiTheme="majorHAnsi"/>
          <w:sz w:val="24"/>
          <w:szCs w:val="24"/>
        </w:rPr>
        <w:t>u</w:t>
      </w:r>
      <w:r w:rsidRPr="005C395F">
        <w:rPr>
          <w:rFonts w:asciiTheme="majorHAnsi" w:hAnsiTheme="majorHAnsi"/>
          <w:sz w:val="24"/>
          <w:szCs w:val="24"/>
        </w:rPr>
        <w:t>n logiciel est un programme ou une série de programmes contenant des instructions destinées à un ordinateur pour des fins soit du fonctionnement opérationnel de l'ordinateur lui-même (système d'exploitation) soit de l'accomplissement d'autres tâches (logiciel d'application).</w:t>
      </w:r>
    </w:p>
    <w:p w:rsidR="005C395F" w:rsidRPr="005C395F" w:rsidRDefault="005C395F" w:rsidP="005C395F">
      <w:pPr>
        <w:spacing w:before="120" w:after="120" w:line="360" w:lineRule="auto"/>
        <w:jc w:val="both"/>
        <w:rPr>
          <w:rFonts w:asciiTheme="majorHAnsi" w:hAnsiTheme="majorHAnsi"/>
          <w:sz w:val="24"/>
          <w:szCs w:val="24"/>
        </w:rPr>
      </w:pPr>
      <w:r w:rsidRPr="005C395F">
        <w:rPr>
          <w:rFonts w:asciiTheme="majorHAnsi" w:hAnsiTheme="majorHAnsi"/>
          <w:sz w:val="24"/>
          <w:szCs w:val="24"/>
        </w:rPr>
        <w:t xml:space="preserve"> Les droits portant sur un logiciel constituent une forme de propriété intellectuelle. En Tunisie, ces droits sont protégés par le biais de la loi sur les droits d'auteur. Le transfert de droits se fait sous diverses formes allant d'une disposition de tous les droits à la vente d'un produit dont l'utilisation est sujette à un certain nombre de restrictions. La contrepartie du transfert peut aussi prendre différentes formes. Ces facteurs peuvent rendre difficile la distinction entre les versements concernant les logiciels qui constituent véritablement des redevances et d'autres types de versements.</w:t>
      </w:r>
    </w:p>
    <w:p w:rsidR="0091381C" w:rsidRPr="00C8242D" w:rsidRDefault="005C395F" w:rsidP="0091381C">
      <w:pPr>
        <w:spacing w:before="120" w:after="120" w:line="360" w:lineRule="auto"/>
        <w:jc w:val="both"/>
        <w:rPr>
          <w:rFonts w:asciiTheme="majorHAnsi" w:hAnsiTheme="majorHAnsi"/>
          <w:sz w:val="24"/>
          <w:szCs w:val="24"/>
        </w:rPr>
      </w:pPr>
      <w:r>
        <w:rPr>
          <w:rFonts w:asciiTheme="majorHAnsi" w:hAnsiTheme="majorHAnsi"/>
          <w:sz w:val="24"/>
          <w:szCs w:val="24"/>
        </w:rPr>
        <w:t xml:space="preserve">Dans le cas d’espèce, il s’agit d’un paiement en contre partie d’un droit d’utilisation d’un logiciel informatique </w:t>
      </w:r>
      <w:r w:rsidRPr="005C395F">
        <w:rPr>
          <w:rFonts w:asciiTheme="majorHAnsi" w:hAnsiTheme="majorHAnsi"/>
          <w:sz w:val="24"/>
          <w:szCs w:val="24"/>
        </w:rPr>
        <w:t>assorti de prestation de services</w:t>
      </w:r>
      <w:r>
        <w:rPr>
          <w:rFonts w:asciiTheme="majorHAnsi" w:hAnsiTheme="majorHAnsi"/>
          <w:sz w:val="24"/>
          <w:szCs w:val="24"/>
        </w:rPr>
        <w:t xml:space="preserve">, constitue un cas de </w:t>
      </w:r>
      <w:r w:rsidRPr="0091381C">
        <w:rPr>
          <w:rFonts w:asciiTheme="majorHAnsi" w:hAnsiTheme="majorHAnsi"/>
          <w:b/>
          <w:bCs/>
          <w:i/>
          <w:iCs/>
          <w:sz w:val="24"/>
          <w:szCs w:val="24"/>
        </w:rPr>
        <w:t>redevance</w:t>
      </w:r>
      <w:r w:rsidR="0091381C">
        <w:rPr>
          <w:rFonts w:asciiTheme="majorHAnsi" w:hAnsiTheme="majorHAnsi"/>
          <w:sz w:val="24"/>
          <w:szCs w:val="24"/>
        </w:rPr>
        <w:t xml:space="preserve"> et</w:t>
      </w:r>
      <w:r w:rsidR="0091381C" w:rsidRPr="00FF49F1">
        <w:rPr>
          <w:rFonts w:asciiTheme="majorHAnsi" w:hAnsiTheme="majorHAnsi"/>
          <w:sz w:val="24"/>
          <w:szCs w:val="24"/>
        </w:rPr>
        <w:t xml:space="preserve"> sont imposable</w:t>
      </w:r>
      <w:r w:rsidR="0091381C">
        <w:rPr>
          <w:rFonts w:asciiTheme="majorHAnsi" w:hAnsiTheme="majorHAnsi"/>
          <w:sz w:val="24"/>
          <w:szCs w:val="24"/>
        </w:rPr>
        <w:t>,</w:t>
      </w:r>
      <w:r w:rsidR="0091381C" w:rsidRPr="00FF49F1">
        <w:rPr>
          <w:rFonts w:asciiTheme="majorHAnsi" w:hAnsiTheme="majorHAnsi"/>
          <w:sz w:val="24"/>
          <w:szCs w:val="24"/>
        </w:rPr>
        <w:t xml:space="preserve"> </w:t>
      </w:r>
      <w:r w:rsidR="0091381C">
        <w:rPr>
          <w:rFonts w:asciiTheme="majorHAnsi" w:hAnsiTheme="majorHAnsi"/>
          <w:sz w:val="24"/>
          <w:szCs w:val="24"/>
        </w:rPr>
        <w:t xml:space="preserve">de ce fait, </w:t>
      </w:r>
      <w:r w:rsidR="0091381C" w:rsidRPr="00FF49F1">
        <w:rPr>
          <w:rFonts w:asciiTheme="majorHAnsi" w:hAnsiTheme="majorHAnsi"/>
          <w:sz w:val="24"/>
          <w:szCs w:val="24"/>
        </w:rPr>
        <w:t>en Tunisie par voie de retenue à la source</w:t>
      </w:r>
      <w:r w:rsidR="0091381C">
        <w:rPr>
          <w:rFonts w:asciiTheme="majorHAnsi" w:hAnsiTheme="majorHAnsi"/>
          <w:sz w:val="24"/>
          <w:szCs w:val="24"/>
        </w:rPr>
        <w:t xml:space="preserve"> </w:t>
      </w:r>
      <w:r w:rsidR="0091381C" w:rsidRPr="00FF49F1">
        <w:rPr>
          <w:rFonts w:asciiTheme="majorHAnsi" w:hAnsiTheme="majorHAnsi"/>
          <w:sz w:val="24"/>
          <w:szCs w:val="24"/>
        </w:rPr>
        <w:t>libératoire au taux de 10% de leur montant brut, soit :</w:t>
      </w:r>
      <w:r w:rsidR="0091381C">
        <w:rPr>
          <w:rFonts w:asciiTheme="majorHAnsi" w:hAnsiTheme="majorHAnsi"/>
          <w:sz w:val="24"/>
          <w:szCs w:val="24"/>
        </w:rPr>
        <w:t xml:space="preserve"> 20.000,000 </w:t>
      </w:r>
      <w:r w:rsidR="0091381C" w:rsidRPr="00922D2E">
        <w:rPr>
          <w:rFonts w:asciiTheme="majorHAnsi" w:hAnsiTheme="majorHAnsi"/>
          <w:sz w:val="24"/>
          <w:szCs w:val="24"/>
        </w:rPr>
        <w:t>x</w:t>
      </w:r>
      <w:r w:rsidR="0091381C">
        <w:rPr>
          <w:rFonts w:asciiTheme="majorHAnsi" w:hAnsiTheme="majorHAnsi"/>
          <w:sz w:val="24"/>
          <w:szCs w:val="24"/>
        </w:rPr>
        <w:t xml:space="preserve"> 1,18 </w:t>
      </w:r>
      <w:r w:rsidR="0091381C" w:rsidRPr="00922D2E">
        <w:rPr>
          <w:rFonts w:asciiTheme="majorHAnsi" w:hAnsiTheme="majorHAnsi"/>
          <w:sz w:val="24"/>
          <w:szCs w:val="24"/>
        </w:rPr>
        <w:t>x</w:t>
      </w:r>
      <w:r w:rsidR="0091381C">
        <w:rPr>
          <w:rFonts w:asciiTheme="majorHAnsi" w:hAnsiTheme="majorHAnsi"/>
          <w:sz w:val="24"/>
          <w:szCs w:val="24"/>
        </w:rPr>
        <w:t xml:space="preserve"> 10 % = 2.360,000 TND.</w:t>
      </w:r>
    </w:p>
    <w:p w:rsidR="0091381C" w:rsidRPr="00C8242D" w:rsidRDefault="0091381C" w:rsidP="00A04314">
      <w:pPr>
        <w:spacing w:before="120" w:after="120" w:line="360" w:lineRule="auto"/>
        <w:jc w:val="both"/>
        <w:rPr>
          <w:rFonts w:asciiTheme="majorHAnsi" w:hAnsiTheme="majorHAnsi"/>
          <w:sz w:val="24"/>
          <w:szCs w:val="24"/>
        </w:rPr>
      </w:pPr>
      <w:r w:rsidRPr="00DC65E1">
        <w:rPr>
          <w:rFonts w:asciiTheme="majorHAnsi" w:hAnsiTheme="majorHAnsi"/>
          <w:sz w:val="24"/>
          <w:szCs w:val="24"/>
        </w:rPr>
        <w:t xml:space="preserve">En cas de prise en charge de l’impôt par la société </w:t>
      </w:r>
      <w:r w:rsidRPr="00B97067">
        <w:rPr>
          <w:rFonts w:asciiTheme="majorHAnsi" w:hAnsiTheme="majorHAnsi"/>
          <w:b/>
          <w:bCs/>
          <w:i/>
          <w:iCs/>
          <w:sz w:val="24"/>
          <w:szCs w:val="24"/>
        </w:rPr>
        <w:t>« </w:t>
      </w:r>
      <w:r w:rsidR="00A04314">
        <w:rPr>
          <w:rFonts w:asciiTheme="majorHAnsi" w:hAnsiTheme="majorHAnsi"/>
          <w:b/>
          <w:bCs/>
          <w:i/>
          <w:iCs/>
          <w:sz w:val="24"/>
          <w:szCs w:val="24"/>
        </w:rPr>
        <w:t>ABC</w:t>
      </w:r>
      <w:r w:rsidRPr="00B97067">
        <w:rPr>
          <w:rFonts w:asciiTheme="majorHAnsi" w:hAnsiTheme="majorHAnsi"/>
          <w:b/>
          <w:bCs/>
          <w:i/>
          <w:iCs/>
          <w:sz w:val="24"/>
          <w:szCs w:val="24"/>
        </w:rPr>
        <w:t> »</w:t>
      </w:r>
      <w:r w:rsidRPr="00DC65E1">
        <w:rPr>
          <w:rFonts w:asciiTheme="majorHAnsi" w:hAnsiTheme="majorHAnsi"/>
          <w:sz w:val="24"/>
          <w:szCs w:val="24"/>
        </w:rPr>
        <w:t>, la retenue à la source doit être effectuée au taux de 17,64%, soit :</w:t>
      </w:r>
      <w:r>
        <w:rPr>
          <w:rFonts w:asciiTheme="majorHAnsi" w:hAnsiTheme="majorHAnsi"/>
          <w:sz w:val="24"/>
          <w:szCs w:val="24"/>
        </w:rPr>
        <w:t xml:space="preserve"> 20.000,000 </w:t>
      </w:r>
      <w:r w:rsidRPr="00922D2E">
        <w:rPr>
          <w:rFonts w:asciiTheme="majorHAnsi" w:hAnsiTheme="majorHAnsi"/>
          <w:sz w:val="24"/>
          <w:szCs w:val="24"/>
        </w:rPr>
        <w:t>x</w:t>
      </w:r>
      <w:r>
        <w:rPr>
          <w:rFonts w:asciiTheme="majorHAnsi" w:hAnsiTheme="majorHAnsi"/>
          <w:sz w:val="24"/>
          <w:szCs w:val="24"/>
        </w:rPr>
        <w:t xml:space="preserve"> 1,18 </w:t>
      </w:r>
      <w:r w:rsidRPr="00922D2E">
        <w:rPr>
          <w:rFonts w:asciiTheme="majorHAnsi" w:hAnsiTheme="majorHAnsi"/>
          <w:sz w:val="24"/>
          <w:szCs w:val="24"/>
        </w:rPr>
        <w:t>x</w:t>
      </w:r>
      <w:r>
        <w:rPr>
          <w:rFonts w:asciiTheme="majorHAnsi" w:hAnsiTheme="majorHAnsi"/>
          <w:sz w:val="24"/>
          <w:szCs w:val="24"/>
        </w:rPr>
        <w:t xml:space="preserve"> 17,64 % = 4.163,040 TND.</w:t>
      </w:r>
    </w:p>
    <w:p w:rsidR="0091381C" w:rsidRPr="00621EAB" w:rsidRDefault="005B1910" w:rsidP="0091381C">
      <w:pPr>
        <w:tabs>
          <w:tab w:val="left" w:pos="709"/>
        </w:tabs>
        <w:spacing w:before="120" w:after="120" w:line="360" w:lineRule="auto"/>
        <w:ind w:left="360"/>
        <w:jc w:val="both"/>
        <w:rPr>
          <w:rFonts w:asciiTheme="majorHAnsi" w:hAnsiTheme="majorHAnsi"/>
          <w:b/>
          <w:bCs/>
          <w:i/>
          <w:iCs/>
          <w:sz w:val="24"/>
          <w:szCs w:val="24"/>
        </w:rPr>
      </w:pPr>
      <w:r>
        <w:rPr>
          <w:rFonts w:asciiTheme="majorHAnsi" w:hAnsiTheme="majorHAnsi"/>
          <w:b/>
          <w:bCs/>
          <w:i/>
          <w:iCs/>
          <w:sz w:val="24"/>
          <w:szCs w:val="24"/>
        </w:rPr>
        <w:t xml:space="preserve">  </w:t>
      </w:r>
      <w:r w:rsidR="0091381C" w:rsidRPr="00621EAB">
        <w:rPr>
          <w:rFonts w:asciiTheme="majorHAnsi" w:hAnsiTheme="majorHAnsi"/>
          <w:b/>
          <w:bCs/>
          <w:i/>
          <w:iCs/>
          <w:sz w:val="24"/>
          <w:szCs w:val="24"/>
        </w:rPr>
        <w:t>En matière de TVA</w:t>
      </w:r>
    </w:p>
    <w:p w:rsidR="0091381C" w:rsidRDefault="0091381C" w:rsidP="0091381C">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Les rémunérations sont la contrepartie d’un service consommé en Tunisie,</w:t>
      </w:r>
      <w:r>
        <w:rPr>
          <w:rFonts w:asciiTheme="majorHAnsi" w:hAnsiTheme="majorHAnsi"/>
          <w:sz w:val="24"/>
          <w:szCs w:val="24"/>
        </w:rPr>
        <w:t xml:space="preserve"> </w:t>
      </w:r>
      <w:r w:rsidRPr="00AA276B">
        <w:rPr>
          <w:rFonts w:asciiTheme="majorHAnsi" w:hAnsiTheme="majorHAnsi"/>
          <w:sz w:val="24"/>
          <w:szCs w:val="24"/>
        </w:rPr>
        <w:t>elles rentrent donc dans le champ d’application territoriale de la TVA qui est</w:t>
      </w:r>
      <w:r>
        <w:rPr>
          <w:rFonts w:asciiTheme="majorHAnsi" w:hAnsiTheme="majorHAnsi"/>
          <w:sz w:val="24"/>
          <w:szCs w:val="24"/>
        </w:rPr>
        <w:t xml:space="preserve"> </w:t>
      </w:r>
      <w:r w:rsidRPr="00AA276B">
        <w:rPr>
          <w:rFonts w:asciiTheme="majorHAnsi" w:hAnsiTheme="majorHAnsi"/>
          <w:sz w:val="24"/>
          <w:szCs w:val="24"/>
        </w:rPr>
        <w:t>due au taux de 1</w:t>
      </w:r>
      <w:r>
        <w:rPr>
          <w:rFonts w:asciiTheme="majorHAnsi" w:hAnsiTheme="majorHAnsi"/>
          <w:sz w:val="24"/>
          <w:szCs w:val="24"/>
        </w:rPr>
        <w:t xml:space="preserve">8 </w:t>
      </w:r>
      <w:r w:rsidRPr="00AA276B">
        <w:rPr>
          <w:rFonts w:asciiTheme="majorHAnsi" w:hAnsiTheme="majorHAnsi"/>
          <w:sz w:val="24"/>
          <w:szCs w:val="24"/>
        </w:rPr>
        <w:t>%.</w:t>
      </w:r>
    </w:p>
    <w:p w:rsidR="0091381C" w:rsidRDefault="0091381C" w:rsidP="00A04314">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Etant non établie en Tunisie, la société </w:t>
      </w:r>
      <w:r w:rsidR="00A04314">
        <w:rPr>
          <w:rFonts w:asciiTheme="majorHAnsi" w:hAnsiTheme="majorHAnsi"/>
          <w:sz w:val="24"/>
          <w:szCs w:val="24"/>
        </w:rPr>
        <w:t>résidente en Espagne</w:t>
      </w:r>
      <w:r w:rsidRPr="00295461">
        <w:rPr>
          <w:rFonts w:asciiTheme="majorHAnsi" w:hAnsiTheme="majorHAnsi"/>
          <w:sz w:val="24"/>
          <w:szCs w:val="24"/>
        </w:rPr>
        <w:t xml:space="preserve"> </w:t>
      </w:r>
      <w:r w:rsidRPr="004139EE">
        <w:rPr>
          <w:rFonts w:asciiTheme="majorHAnsi" w:hAnsiTheme="majorHAnsi"/>
          <w:sz w:val="24"/>
          <w:szCs w:val="24"/>
        </w:rPr>
        <w:t xml:space="preserve">sera soumise </w:t>
      </w:r>
      <w:r>
        <w:rPr>
          <w:rFonts w:asciiTheme="majorHAnsi" w:hAnsiTheme="majorHAnsi"/>
          <w:sz w:val="24"/>
          <w:szCs w:val="24"/>
        </w:rPr>
        <w:t>à</w:t>
      </w:r>
      <w:r w:rsidRPr="004139EE">
        <w:rPr>
          <w:rFonts w:asciiTheme="majorHAnsi" w:hAnsiTheme="majorHAnsi"/>
          <w:sz w:val="24"/>
          <w:szCs w:val="24"/>
        </w:rPr>
        <w:t xml:space="preserve"> la retenue </w:t>
      </w:r>
      <w:r>
        <w:rPr>
          <w:rFonts w:asciiTheme="majorHAnsi" w:hAnsiTheme="majorHAnsi"/>
          <w:sz w:val="24"/>
          <w:szCs w:val="24"/>
        </w:rPr>
        <w:t>à</w:t>
      </w:r>
      <w:r w:rsidRPr="004139EE">
        <w:rPr>
          <w:rFonts w:asciiTheme="majorHAnsi" w:hAnsiTheme="majorHAnsi"/>
          <w:sz w:val="24"/>
          <w:szCs w:val="24"/>
        </w:rPr>
        <w:t xml:space="preserve"> la source au titre de la TVA au taux de 100%, et ceux conformément aux dispositions de l’article 19 du code TVA qui stipule</w:t>
      </w:r>
      <w:r>
        <w:rPr>
          <w:rFonts w:asciiTheme="majorHAnsi" w:hAnsiTheme="majorHAnsi"/>
          <w:sz w:val="24"/>
          <w:szCs w:val="24"/>
        </w:rPr>
        <w:t> :</w:t>
      </w:r>
      <w:r w:rsidRPr="004139EE">
        <w:rPr>
          <w:rFonts w:asciiTheme="majorHAnsi" w:hAnsiTheme="majorHAnsi"/>
          <w:sz w:val="24"/>
          <w:szCs w:val="24"/>
        </w:rPr>
        <w:t xml:space="preserve"> « </w:t>
      </w:r>
      <w:r w:rsidRPr="00436061">
        <w:rPr>
          <w:rFonts w:asciiTheme="majorHAnsi" w:hAnsiTheme="majorHAnsi"/>
          <w:sz w:val="24"/>
          <w:szCs w:val="24"/>
        </w:rPr>
        <w:t xml:space="preserve">en cas de réalisation par les personnes morales et les personne physiques n’ayant pas d’établissement en Tunisie d’opérations soumises </w:t>
      </w:r>
      <w:r>
        <w:rPr>
          <w:rFonts w:asciiTheme="majorHAnsi" w:hAnsiTheme="majorHAnsi"/>
          <w:sz w:val="24"/>
          <w:szCs w:val="24"/>
        </w:rPr>
        <w:t>à</w:t>
      </w:r>
      <w:r w:rsidRPr="00436061">
        <w:rPr>
          <w:rFonts w:asciiTheme="majorHAnsi" w:hAnsiTheme="majorHAnsi"/>
          <w:sz w:val="24"/>
          <w:szCs w:val="24"/>
        </w:rPr>
        <w:t xml:space="preserve"> la taxe sur la valeur ajouté, </w:t>
      </w:r>
      <w:r w:rsidRPr="00436061">
        <w:rPr>
          <w:rFonts w:asciiTheme="majorHAnsi" w:hAnsiTheme="majorHAnsi"/>
          <w:b/>
          <w:bCs/>
          <w:i/>
          <w:iCs/>
          <w:sz w:val="24"/>
          <w:szCs w:val="24"/>
        </w:rPr>
        <w:t>leurs clients</w:t>
      </w:r>
      <w:r w:rsidRPr="00436061">
        <w:rPr>
          <w:rFonts w:asciiTheme="majorHAnsi" w:hAnsiTheme="majorHAnsi"/>
          <w:sz w:val="24"/>
          <w:szCs w:val="24"/>
        </w:rPr>
        <w:t xml:space="preserve"> sont tenus de </w:t>
      </w:r>
      <w:r w:rsidRPr="00427628">
        <w:rPr>
          <w:rFonts w:asciiTheme="majorHAnsi" w:hAnsiTheme="majorHAnsi"/>
          <w:b/>
          <w:bCs/>
          <w:i/>
          <w:iCs/>
          <w:sz w:val="24"/>
          <w:szCs w:val="24"/>
        </w:rPr>
        <w:t>retenir</w:t>
      </w:r>
      <w:r w:rsidRPr="00436061">
        <w:rPr>
          <w:rFonts w:asciiTheme="majorHAnsi" w:hAnsiTheme="majorHAnsi"/>
          <w:sz w:val="24"/>
          <w:szCs w:val="24"/>
        </w:rPr>
        <w:t xml:space="preserve"> la taxe sur la valeur ajouté</w:t>
      </w:r>
      <w:r>
        <w:rPr>
          <w:rFonts w:asciiTheme="majorHAnsi" w:hAnsiTheme="majorHAnsi"/>
          <w:sz w:val="24"/>
          <w:szCs w:val="24"/>
        </w:rPr>
        <w:t>e</w:t>
      </w:r>
      <w:r w:rsidRPr="00436061">
        <w:rPr>
          <w:rFonts w:asciiTheme="majorHAnsi" w:hAnsiTheme="majorHAnsi"/>
          <w:sz w:val="24"/>
          <w:szCs w:val="24"/>
        </w:rPr>
        <w:t xml:space="preserve"> d</w:t>
      </w:r>
      <w:r>
        <w:rPr>
          <w:rFonts w:asciiTheme="majorHAnsi" w:hAnsiTheme="majorHAnsi"/>
          <w:sz w:val="24"/>
          <w:szCs w:val="24"/>
        </w:rPr>
        <w:t>û</w:t>
      </w:r>
      <w:r w:rsidRPr="00436061">
        <w:rPr>
          <w:rFonts w:asciiTheme="majorHAnsi" w:hAnsiTheme="majorHAnsi"/>
          <w:sz w:val="24"/>
          <w:szCs w:val="24"/>
        </w:rPr>
        <w:t xml:space="preserve"> au titre de ces opérations. Cette retenue est libératoire de ladite taxe</w:t>
      </w:r>
      <w:r w:rsidRPr="004139EE">
        <w:rPr>
          <w:rFonts w:asciiTheme="majorHAnsi" w:hAnsiTheme="majorHAnsi"/>
          <w:sz w:val="24"/>
          <w:szCs w:val="24"/>
        </w:rPr>
        <w:t> ». </w:t>
      </w:r>
    </w:p>
    <w:p w:rsidR="0091381C" w:rsidRDefault="0091381C" w:rsidP="0053117D">
      <w:pPr>
        <w:tabs>
          <w:tab w:val="left" w:pos="709"/>
        </w:tabs>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 La TVA retenu à la source est déterminée comme suit</w:t>
      </w:r>
      <w:r>
        <w:rPr>
          <w:rFonts w:asciiTheme="majorHAnsi" w:hAnsiTheme="majorHAnsi"/>
          <w:sz w:val="24"/>
          <w:szCs w:val="24"/>
        </w:rPr>
        <w:t> :</w:t>
      </w:r>
      <w:r w:rsidR="00A04314">
        <w:rPr>
          <w:rFonts w:asciiTheme="majorHAnsi" w:hAnsiTheme="majorHAnsi"/>
          <w:sz w:val="24"/>
          <w:szCs w:val="24"/>
        </w:rPr>
        <w:t xml:space="preserve"> </w:t>
      </w:r>
      <w:r>
        <w:rPr>
          <w:rFonts w:asciiTheme="majorHAnsi" w:hAnsiTheme="majorHAnsi"/>
          <w:sz w:val="24"/>
          <w:szCs w:val="24"/>
        </w:rPr>
        <w:t xml:space="preserve">= </w:t>
      </w:r>
      <w:r w:rsidR="00A04314">
        <w:rPr>
          <w:rFonts w:asciiTheme="majorHAnsi" w:hAnsiTheme="majorHAnsi"/>
          <w:sz w:val="24"/>
          <w:szCs w:val="24"/>
        </w:rPr>
        <w:t>2</w:t>
      </w:r>
      <w:r>
        <w:rPr>
          <w:rFonts w:asciiTheme="majorHAnsi" w:hAnsiTheme="majorHAnsi"/>
          <w:sz w:val="24"/>
          <w:szCs w:val="24"/>
        </w:rPr>
        <w:t xml:space="preserve">0.000,000 </w:t>
      </w:r>
      <w:proofErr w:type="spellStart"/>
      <w:r w:rsidR="0053117D">
        <w:rPr>
          <w:rFonts w:asciiTheme="majorHAnsi" w:hAnsiTheme="majorHAnsi" w:hint="cs"/>
          <w:sz w:val="24"/>
          <w:szCs w:val="24"/>
          <w:rtl/>
        </w:rPr>
        <w:t>×</w:t>
      </w:r>
      <w:proofErr w:type="spellEnd"/>
      <w:r>
        <w:rPr>
          <w:rFonts w:asciiTheme="majorHAnsi" w:hAnsiTheme="majorHAnsi"/>
          <w:sz w:val="24"/>
          <w:szCs w:val="24"/>
        </w:rPr>
        <w:t xml:space="preserve"> 0,18 = </w:t>
      </w:r>
      <w:r w:rsidR="00A04314">
        <w:rPr>
          <w:rFonts w:asciiTheme="majorHAnsi" w:hAnsiTheme="majorHAnsi"/>
          <w:sz w:val="24"/>
          <w:szCs w:val="24"/>
        </w:rPr>
        <w:t>3</w:t>
      </w:r>
      <w:r>
        <w:rPr>
          <w:rFonts w:asciiTheme="majorHAnsi" w:hAnsiTheme="majorHAnsi"/>
          <w:sz w:val="24"/>
          <w:szCs w:val="24"/>
        </w:rPr>
        <w:t>.</w:t>
      </w:r>
      <w:r w:rsidR="00A04314">
        <w:rPr>
          <w:rFonts w:asciiTheme="majorHAnsi" w:hAnsiTheme="majorHAnsi"/>
          <w:sz w:val="24"/>
          <w:szCs w:val="24"/>
        </w:rPr>
        <w:t>6</w:t>
      </w:r>
      <w:r>
        <w:rPr>
          <w:rFonts w:asciiTheme="majorHAnsi" w:hAnsiTheme="majorHAnsi"/>
          <w:sz w:val="24"/>
          <w:szCs w:val="24"/>
        </w:rPr>
        <w:t>00,000 TND</w:t>
      </w:r>
    </w:p>
    <w:p w:rsidR="0091381C" w:rsidRDefault="0091381C" w:rsidP="00A04314">
      <w:pPr>
        <w:spacing w:before="120" w:after="120" w:line="360" w:lineRule="auto"/>
        <w:jc w:val="both"/>
        <w:rPr>
          <w:rFonts w:asciiTheme="majorHAnsi" w:hAnsiTheme="majorHAnsi"/>
          <w:sz w:val="24"/>
          <w:szCs w:val="24"/>
        </w:rPr>
      </w:pPr>
      <w:r w:rsidRPr="00AA276B">
        <w:rPr>
          <w:rFonts w:asciiTheme="majorHAnsi" w:hAnsiTheme="majorHAnsi"/>
          <w:sz w:val="24"/>
          <w:szCs w:val="24"/>
        </w:rPr>
        <w:lastRenderedPageBreak/>
        <w:t xml:space="preserve">Cependant, la société </w:t>
      </w:r>
      <w:r w:rsidR="00A04314">
        <w:rPr>
          <w:rFonts w:asciiTheme="majorHAnsi" w:hAnsiTheme="majorHAnsi"/>
          <w:sz w:val="24"/>
          <w:szCs w:val="24"/>
        </w:rPr>
        <w:t xml:space="preserve">résidente en Espagne </w:t>
      </w:r>
      <w:r w:rsidRPr="00AA276B">
        <w:rPr>
          <w:rFonts w:asciiTheme="majorHAnsi" w:hAnsiTheme="majorHAnsi"/>
          <w:sz w:val="24"/>
          <w:szCs w:val="24"/>
        </w:rPr>
        <w:t xml:space="preserve">peut toujours </w:t>
      </w:r>
      <w:r w:rsidRPr="006E0FF6">
        <w:rPr>
          <w:rFonts w:asciiTheme="majorHAnsi" w:hAnsiTheme="majorHAnsi"/>
          <w:sz w:val="24"/>
          <w:szCs w:val="24"/>
        </w:rPr>
        <w:t xml:space="preserve">opter </w:t>
      </w:r>
      <w:r w:rsidRPr="00AA276B">
        <w:rPr>
          <w:rFonts w:asciiTheme="majorHAnsi" w:hAnsiTheme="majorHAnsi"/>
          <w:sz w:val="24"/>
          <w:szCs w:val="24"/>
        </w:rPr>
        <w:t>pour son</w:t>
      </w:r>
      <w:r>
        <w:rPr>
          <w:rFonts w:asciiTheme="majorHAnsi" w:hAnsiTheme="majorHAnsi"/>
          <w:sz w:val="24"/>
          <w:szCs w:val="24"/>
        </w:rPr>
        <w:t xml:space="preserve"> </w:t>
      </w:r>
      <w:r w:rsidRPr="00AA276B">
        <w:rPr>
          <w:rFonts w:asciiTheme="majorHAnsi" w:hAnsiTheme="majorHAnsi"/>
          <w:sz w:val="24"/>
          <w:szCs w:val="24"/>
        </w:rPr>
        <w:t>assujettissement à la TVA selon le régime de droit commun. Dans ce cas</w:t>
      </w:r>
      <w:r>
        <w:rPr>
          <w:rFonts w:asciiTheme="majorHAnsi" w:hAnsiTheme="majorHAnsi"/>
          <w:sz w:val="24"/>
          <w:szCs w:val="24"/>
        </w:rPr>
        <w:t>,</w:t>
      </w:r>
      <w:r w:rsidRPr="00AA276B">
        <w:rPr>
          <w:rFonts w:asciiTheme="majorHAnsi" w:hAnsiTheme="majorHAnsi"/>
          <w:sz w:val="24"/>
          <w:szCs w:val="24"/>
        </w:rPr>
        <w:t xml:space="preserve"> elle</w:t>
      </w:r>
      <w:r>
        <w:rPr>
          <w:rFonts w:asciiTheme="majorHAnsi" w:hAnsiTheme="majorHAnsi"/>
          <w:sz w:val="24"/>
          <w:szCs w:val="24"/>
        </w:rPr>
        <w:t xml:space="preserve"> </w:t>
      </w:r>
      <w:r w:rsidRPr="00AA276B">
        <w:rPr>
          <w:rFonts w:asciiTheme="majorHAnsi" w:hAnsiTheme="majorHAnsi"/>
          <w:sz w:val="24"/>
          <w:szCs w:val="24"/>
        </w:rPr>
        <w:t>bénéficie de la déduction de la TVA ayant grevé les marchandises et les services</w:t>
      </w:r>
      <w:r>
        <w:rPr>
          <w:rFonts w:asciiTheme="majorHAnsi" w:hAnsiTheme="majorHAnsi"/>
          <w:sz w:val="24"/>
          <w:szCs w:val="24"/>
        </w:rPr>
        <w:t xml:space="preserve"> </w:t>
      </w:r>
      <w:r w:rsidRPr="00AA276B">
        <w:rPr>
          <w:rFonts w:asciiTheme="majorHAnsi" w:hAnsiTheme="majorHAnsi"/>
          <w:sz w:val="24"/>
          <w:szCs w:val="24"/>
        </w:rPr>
        <w:t>nécessaires à la réalisation des opérations soumises à ladite taxe. En cas</w:t>
      </w:r>
      <w:r>
        <w:rPr>
          <w:rFonts w:asciiTheme="majorHAnsi" w:hAnsiTheme="majorHAnsi"/>
          <w:sz w:val="24"/>
          <w:szCs w:val="24"/>
        </w:rPr>
        <w:t xml:space="preserve"> </w:t>
      </w:r>
      <w:r w:rsidRPr="00AA276B">
        <w:rPr>
          <w:rFonts w:asciiTheme="majorHAnsi" w:hAnsiTheme="majorHAnsi"/>
          <w:sz w:val="24"/>
          <w:szCs w:val="24"/>
        </w:rPr>
        <w:t>d’apparition d’un crédit de taxe, ce dernier est remboursable conformément à la</w:t>
      </w:r>
      <w:r>
        <w:rPr>
          <w:rFonts w:asciiTheme="majorHAnsi" w:hAnsiTheme="majorHAnsi"/>
          <w:sz w:val="24"/>
          <w:szCs w:val="24"/>
        </w:rPr>
        <w:t xml:space="preserve"> </w:t>
      </w:r>
      <w:r w:rsidRPr="00AA276B">
        <w:rPr>
          <w:rFonts w:asciiTheme="majorHAnsi" w:hAnsiTheme="majorHAnsi"/>
          <w:sz w:val="24"/>
          <w:szCs w:val="24"/>
        </w:rPr>
        <w:t>législation en vigueur</w:t>
      </w:r>
      <w:r>
        <w:rPr>
          <w:rFonts w:asciiTheme="majorHAnsi" w:hAnsiTheme="majorHAnsi"/>
          <w:sz w:val="24"/>
          <w:szCs w:val="24"/>
        </w:rPr>
        <w:t>.</w:t>
      </w:r>
    </w:p>
    <w:p w:rsidR="00130FB3" w:rsidRDefault="00130FB3" w:rsidP="00130FB3">
      <w:pPr>
        <w:pStyle w:val="Paragraphedeliste"/>
        <w:numPr>
          <w:ilvl w:val="0"/>
          <w:numId w:val="35"/>
        </w:numPr>
        <w:spacing w:before="120" w:after="120" w:line="360" w:lineRule="auto"/>
        <w:jc w:val="both"/>
        <w:rPr>
          <w:rFonts w:asciiTheme="majorHAnsi" w:hAnsiTheme="majorHAnsi"/>
          <w:b/>
          <w:bCs/>
          <w:i/>
          <w:iCs/>
          <w:sz w:val="24"/>
          <w:szCs w:val="24"/>
        </w:rPr>
      </w:pPr>
      <w:r>
        <w:rPr>
          <w:rFonts w:asciiTheme="majorHAnsi" w:hAnsiTheme="majorHAnsi"/>
          <w:b/>
          <w:bCs/>
          <w:i/>
          <w:iCs/>
          <w:sz w:val="24"/>
          <w:szCs w:val="24"/>
        </w:rPr>
        <w:t>Maintenance d’un logiciel</w:t>
      </w:r>
      <w:r w:rsidR="00980C6F">
        <w:rPr>
          <w:rFonts w:asciiTheme="majorHAnsi" w:hAnsiTheme="majorHAnsi"/>
          <w:b/>
          <w:bCs/>
          <w:i/>
          <w:iCs/>
          <w:sz w:val="24"/>
          <w:szCs w:val="24"/>
        </w:rPr>
        <w:t xml:space="preserve"> informatique</w:t>
      </w:r>
    </w:p>
    <w:p w:rsidR="0091381C" w:rsidRPr="005B1910" w:rsidRDefault="005B1910" w:rsidP="005B1910">
      <w:pPr>
        <w:tabs>
          <w:tab w:val="left" w:pos="709"/>
        </w:tabs>
        <w:spacing w:before="120" w:after="120" w:line="360" w:lineRule="auto"/>
        <w:ind w:left="360"/>
        <w:jc w:val="both"/>
        <w:rPr>
          <w:rFonts w:asciiTheme="majorHAnsi" w:hAnsiTheme="majorHAnsi"/>
          <w:b/>
          <w:bCs/>
          <w:i/>
          <w:iCs/>
          <w:sz w:val="24"/>
          <w:szCs w:val="24"/>
        </w:rPr>
      </w:pPr>
      <w:r>
        <w:rPr>
          <w:rFonts w:asciiTheme="majorHAnsi" w:hAnsiTheme="majorHAnsi"/>
          <w:b/>
          <w:bCs/>
          <w:i/>
          <w:iCs/>
          <w:sz w:val="24"/>
          <w:szCs w:val="24"/>
        </w:rPr>
        <w:t xml:space="preserve">     </w:t>
      </w:r>
      <w:r w:rsidR="0091381C" w:rsidRPr="005B1910">
        <w:rPr>
          <w:rFonts w:asciiTheme="majorHAnsi" w:hAnsiTheme="majorHAnsi"/>
          <w:b/>
          <w:bCs/>
          <w:i/>
          <w:iCs/>
          <w:sz w:val="24"/>
          <w:szCs w:val="24"/>
        </w:rPr>
        <w:t>En matière d’IS</w:t>
      </w:r>
    </w:p>
    <w:p w:rsidR="00A04314" w:rsidRDefault="00A04314" w:rsidP="00924530">
      <w:pPr>
        <w:spacing w:before="120" w:after="120" w:line="360" w:lineRule="auto"/>
        <w:jc w:val="both"/>
        <w:rPr>
          <w:rFonts w:asciiTheme="majorHAnsi" w:hAnsiTheme="majorHAnsi"/>
          <w:sz w:val="24"/>
          <w:szCs w:val="24"/>
        </w:rPr>
      </w:pPr>
      <w:r w:rsidRPr="00A04314">
        <w:rPr>
          <w:rFonts w:asciiTheme="majorHAnsi" w:hAnsiTheme="majorHAnsi"/>
          <w:sz w:val="24"/>
          <w:szCs w:val="24"/>
        </w:rPr>
        <w:t>Les travaux de maintenance</w:t>
      </w:r>
      <w:r>
        <w:rPr>
          <w:rFonts w:asciiTheme="majorHAnsi" w:hAnsiTheme="majorHAnsi"/>
          <w:sz w:val="24"/>
          <w:szCs w:val="24"/>
        </w:rPr>
        <w:t xml:space="preserve"> d’un logiciel informatique constituent une opération </w:t>
      </w:r>
      <w:r w:rsidRPr="003E08DD">
        <w:rPr>
          <w:rFonts w:asciiTheme="majorHAnsi" w:hAnsiTheme="majorHAnsi"/>
          <w:sz w:val="24"/>
          <w:szCs w:val="24"/>
        </w:rPr>
        <w:t xml:space="preserve"> </w:t>
      </w:r>
      <w:r>
        <w:rPr>
          <w:rFonts w:asciiTheme="majorHAnsi" w:hAnsiTheme="majorHAnsi"/>
          <w:sz w:val="24"/>
          <w:szCs w:val="24"/>
        </w:rPr>
        <w:t>d</w:t>
      </w:r>
      <w:r w:rsidRPr="003E08DD">
        <w:rPr>
          <w:rFonts w:asciiTheme="majorHAnsi" w:hAnsiTheme="majorHAnsi"/>
          <w:sz w:val="24"/>
          <w:szCs w:val="24"/>
        </w:rPr>
        <w:t>’assistance technique</w:t>
      </w:r>
      <w:r>
        <w:rPr>
          <w:rFonts w:asciiTheme="majorHAnsi" w:hAnsiTheme="majorHAnsi"/>
          <w:sz w:val="24"/>
          <w:szCs w:val="24"/>
        </w:rPr>
        <w:t>, puisqu’elle</w:t>
      </w:r>
      <w:r w:rsidRPr="003E08DD">
        <w:rPr>
          <w:rFonts w:asciiTheme="majorHAnsi" w:hAnsiTheme="majorHAnsi"/>
          <w:sz w:val="24"/>
          <w:szCs w:val="24"/>
        </w:rPr>
        <w:t xml:space="preserve"> relève du domaine de </w:t>
      </w:r>
      <w:r w:rsidRPr="00924530">
        <w:rPr>
          <w:rFonts w:asciiTheme="majorHAnsi" w:hAnsiTheme="majorHAnsi"/>
          <w:b/>
          <w:bCs/>
          <w:i/>
          <w:iCs/>
          <w:sz w:val="24"/>
          <w:szCs w:val="24"/>
        </w:rPr>
        <w:t>l’expérience pratique</w:t>
      </w:r>
      <w:r w:rsidRPr="003E08DD">
        <w:rPr>
          <w:rFonts w:asciiTheme="majorHAnsi" w:hAnsiTheme="majorHAnsi"/>
          <w:sz w:val="24"/>
          <w:szCs w:val="24"/>
        </w:rPr>
        <w:t xml:space="preserve"> dans le sens ou elle consiste à communiquer, par une personne, les connaissances usuelles de sa </w:t>
      </w:r>
      <w:r w:rsidR="00924530">
        <w:rPr>
          <w:rFonts w:asciiTheme="majorHAnsi" w:hAnsiTheme="majorHAnsi"/>
          <w:sz w:val="24"/>
          <w:szCs w:val="24"/>
        </w:rPr>
        <w:t>profession à une autre personne (</w:t>
      </w:r>
      <w:r w:rsidR="00924530" w:rsidRPr="00924530">
        <w:rPr>
          <w:rFonts w:asciiTheme="majorHAnsi" w:hAnsiTheme="majorHAnsi"/>
          <w:sz w:val="24"/>
          <w:szCs w:val="24"/>
        </w:rPr>
        <w:t xml:space="preserve">l’assistance technique suppose obligatoirement le côté pratique de la formation et le transfert de l’expérience </w:t>
      </w:r>
      <w:r w:rsidR="00924530" w:rsidRPr="00924530">
        <w:rPr>
          <w:rFonts w:asciiTheme="majorHAnsi" w:hAnsiTheme="majorHAnsi"/>
          <w:b/>
          <w:bCs/>
          <w:i/>
          <w:iCs/>
          <w:sz w:val="24"/>
          <w:szCs w:val="24"/>
        </w:rPr>
        <w:t>(show-how)</w:t>
      </w:r>
      <w:r w:rsidR="00924530">
        <w:rPr>
          <w:rFonts w:asciiTheme="majorHAnsi" w:hAnsiTheme="majorHAnsi"/>
          <w:sz w:val="24"/>
          <w:szCs w:val="24"/>
        </w:rPr>
        <w:t>)</w:t>
      </w:r>
      <w:r w:rsidR="00924530" w:rsidRPr="00924530">
        <w:rPr>
          <w:rFonts w:asciiTheme="majorHAnsi" w:hAnsiTheme="majorHAnsi"/>
          <w:sz w:val="24"/>
          <w:szCs w:val="24"/>
        </w:rPr>
        <w:t>.</w:t>
      </w:r>
    </w:p>
    <w:p w:rsidR="00A04314" w:rsidRDefault="00A04314" w:rsidP="00924530">
      <w:pPr>
        <w:spacing w:before="120" w:after="120" w:line="360" w:lineRule="auto"/>
        <w:jc w:val="both"/>
        <w:rPr>
          <w:rFonts w:asciiTheme="majorHAnsi" w:hAnsiTheme="majorHAnsi"/>
          <w:sz w:val="24"/>
          <w:szCs w:val="24"/>
        </w:rPr>
      </w:pPr>
      <w:r>
        <w:rPr>
          <w:rFonts w:asciiTheme="majorHAnsi" w:hAnsiTheme="majorHAnsi"/>
          <w:sz w:val="24"/>
          <w:szCs w:val="24"/>
        </w:rPr>
        <w:t>En absence d’un établissement stable et s</w:t>
      </w:r>
      <w:r w:rsidRPr="003E08DD">
        <w:rPr>
          <w:rFonts w:asciiTheme="majorHAnsi" w:hAnsiTheme="majorHAnsi"/>
          <w:sz w:val="24"/>
          <w:szCs w:val="24"/>
        </w:rPr>
        <w:t>’agissant d’une opération</w:t>
      </w:r>
      <w:r>
        <w:rPr>
          <w:rFonts w:asciiTheme="majorHAnsi" w:hAnsiTheme="majorHAnsi"/>
          <w:sz w:val="24"/>
          <w:szCs w:val="24"/>
        </w:rPr>
        <w:t xml:space="preserve"> ponctuelle</w:t>
      </w:r>
      <w:r w:rsidRPr="003E08DD">
        <w:rPr>
          <w:rFonts w:asciiTheme="majorHAnsi" w:hAnsiTheme="majorHAnsi"/>
          <w:sz w:val="24"/>
          <w:szCs w:val="24"/>
        </w:rPr>
        <w:t>, qui ne figure pas dans la définition du terme</w:t>
      </w:r>
      <w:r>
        <w:rPr>
          <w:rFonts w:asciiTheme="majorHAnsi" w:hAnsiTheme="majorHAnsi"/>
          <w:sz w:val="24"/>
          <w:szCs w:val="24"/>
        </w:rPr>
        <w:t xml:space="preserve"> </w:t>
      </w:r>
      <w:r w:rsidRPr="00924530">
        <w:rPr>
          <w:rFonts w:asciiTheme="majorHAnsi" w:hAnsiTheme="majorHAnsi"/>
          <w:sz w:val="24"/>
          <w:szCs w:val="24"/>
        </w:rPr>
        <w:t>«redevance»</w:t>
      </w:r>
      <w:r w:rsidRPr="003E08DD">
        <w:rPr>
          <w:rFonts w:asciiTheme="majorHAnsi" w:hAnsiTheme="majorHAnsi"/>
          <w:sz w:val="24"/>
          <w:szCs w:val="24"/>
        </w:rPr>
        <w:t xml:space="preserve"> prévu par l’article 12 de la convention </w:t>
      </w:r>
      <w:proofErr w:type="spellStart"/>
      <w:r w:rsidRPr="00FF49F1">
        <w:rPr>
          <w:rFonts w:asciiTheme="majorHAnsi" w:hAnsiTheme="majorHAnsi"/>
          <w:sz w:val="24"/>
          <w:szCs w:val="24"/>
        </w:rPr>
        <w:t>Tuniso</w:t>
      </w:r>
      <w:proofErr w:type="spellEnd"/>
      <w:r w:rsidRPr="00FF49F1">
        <w:rPr>
          <w:rFonts w:asciiTheme="majorHAnsi" w:hAnsiTheme="majorHAnsi"/>
          <w:sz w:val="24"/>
          <w:szCs w:val="24"/>
        </w:rPr>
        <w:t>-</w:t>
      </w:r>
      <w:r>
        <w:rPr>
          <w:rFonts w:asciiTheme="majorHAnsi" w:hAnsiTheme="majorHAnsi"/>
          <w:sz w:val="24"/>
          <w:szCs w:val="24"/>
        </w:rPr>
        <w:t>Espagnole</w:t>
      </w:r>
      <w:r w:rsidRPr="003E08DD">
        <w:rPr>
          <w:rFonts w:asciiTheme="majorHAnsi" w:hAnsiTheme="majorHAnsi"/>
          <w:sz w:val="24"/>
          <w:szCs w:val="24"/>
        </w:rPr>
        <w:t xml:space="preserve"> de non double</w:t>
      </w:r>
      <w:r>
        <w:rPr>
          <w:rFonts w:asciiTheme="majorHAnsi" w:hAnsiTheme="majorHAnsi"/>
          <w:sz w:val="24"/>
          <w:szCs w:val="24"/>
        </w:rPr>
        <w:t xml:space="preserve"> </w:t>
      </w:r>
      <w:r w:rsidRPr="003E08DD">
        <w:rPr>
          <w:rFonts w:asciiTheme="majorHAnsi" w:hAnsiTheme="majorHAnsi"/>
          <w:sz w:val="24"/>
          <w:szCs w:val="24"/>
        </w:rPr>
        <w:t>imposition, la société</w:t>
      </w:r>
      <w:r>
        <w:rPr>
          <w:rFonts w:asciiTheme="majorHAnsi" w:hAnsiTheme="majorHAnsi"/>
          <w:sz w:val="24"/>
          <w:szCs w:val="24"/>
        </w:rPr>
        <w:t xml:space="preserve"> résidente en Espagne</w:t>
      </w:r>
      <w:r w:rsidRPr="00924530">
        <w:rPr>
          <w:rFonts w:asciiTheme="majorHAnsi" w:hAnsiTheme="majorHAnsi"/>
          <w:sz w:val="24"/>
          <w:szCs w:val="24"/>
        </w:rPr>
        <w:t xml:space="preserve"> </w:t>
      </w:r>
      <w:r w:rsidRPr="003E08DD">
        <w:rPr>
          <w:rFonts w:asciiTheme="majorHAnsi" w:hAnsiTheme="majorHAnsi"/>
          <w:sz w:val="24"/>
          <w:szCs w:val="24"/>
        </w:rPr>
        <w:t>n’est pas imposable en Tunisie à</w:t>
      </w:r>
      <w:r>
        <w:rPr>
          <w:rFonts w:asciiTheme="majorHAnsi" w:hAnsiTheme="majorHAnsi"/>
          <w:sz w:val="24"/>
          <w:szCs w:val="24"/>
        </w:rPr>
        <w:t xml:space="preserve"> </w:t>
      </w:r>
      <w:r w:rsidRPr="003E08DD">
        <w:rPr>
          <w:rFonts w:asciiTheme="majorHAnsi" w:hAnsiTheme="majorHAnsi"/>
          <w:sz w:val="24"/>
          <w:szCs w:val="24"/>
        </w:rPr>
        <w:t>ce titre.</w:t>
      </w:r>
    </w:p>
    <w:p w:rsidR="0091381C" w:rsidRPr="00621EAB" w:rsidRDefault="005B1910" w:rsidP="00A04314">
      <w:pPr>
        <w:spacing w:before="120" w:after="120" w:line="360" w:lineRule="auto"/>
        <w:jc w:val="both"/>
        <w:rPr>
          <w:rFonts w:asciiTheme="majorHAnsi" w:hAnsiTheme="majorHAnsi"/>
          <w:b/>
          <w:bCs/>
          <w:i/>
          <w:iCs/>
          <w:sz w:val="24"/>
          <w:szCs w:val="24"/>
        </w:rPr>
      </w:pPr>
      <w:r>
        <w:rPr>
          <w:rFonts w:asciiTheme="majorHAnsi" w:hAnsiTheme="majorHAnsi"/>
          <w:sz w:val="24"/>
          <w:szCs w:val="24"/>
        </w:rPr>
        <w:t xml:space="preserve">        </w:t>
      </w:r>
      <w:r w:rsidR="00A04314" w:rsidRPr="00A04314">
        <w:rPr>
          <w:rFonts w:asciiTheme="majorHAnsi" w:hAnsiTheme="majorHAnsi"/>
          <w:sz w:val="24"/>
          <w:szCs w:val="24"/>
        </w:rPr>
        <w:t xml:space="preserve"> </w:t>
      </w:r>
      <w:r w:rsidR="0091381C" w:rsidRPr="00621EAB">
        <w:rPr>
          <w:rFonts w:asciiTheme="majorHAnsi" w:hAnsiTheme="majorHAnsi"/>
          <w:b/>
          <w:bCs/>
          <w:i/>
          <w:iCs/>
          <w:sz w:val="24"/>
          <w:szCs w:val="24"/>
        </w:rPr>
        <w:t>En matière de TVA</w:t>
      </w:r>
    </w:p>
    <w:p w:rsidR="00A04314" w:rsidRDefault="00A04314" w:rsidP="00BA35E2">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Les rémunérations sont la contrepartie d’un service consommé en Tunisie,</w:t>
      </w:r>
      <w:r>
        <w:rPr>
          <w:rFonts w:asciiTheme="majorHAnsi" w:hAnsiTheme="majorHAnsi"/>
          <w:sz w:val="24"/>
          <w:szCs w:val="24"/>
        </w:rPr>
        <w:t xml:space="preserve"> </w:t>
      </w:r>
      <w:r w:rsidRPr="00AA276B">
        <w:rPr>
          <w:rFonts w:asciiTheme="majorHAnsi" w:hAnsiTheme="majorHAnsi"/>
          <w:sz w:val="24"/>
          <w:szCs w:val="24"/>
        </w:rPr>
        <w:t>elles rentrent donc dans le champ d’application territoriale de la TVA qui est</w:t>
      </w:r>
      <w:r>
        <w:rPr>
          <w:rFonts w:asciiTheme="majorHAnsi" w:hAnsiTheme="majorHAnsi"/>
          <w:sz w:val="24"/>
          <w:szCs w:val="24"/>
        </w:rPr>
        <w:t xml:space="preserve"> </w:t>
      </w:r>
      <w:r w:rsidRPr="00AA276B">
        <w:rPr>
          <w:rFonts w:asciiTheme="majorHAnsi" w:hAnsiTheme="majorHAnsi"/>
          <w:sz w:val="24"/>
          <w:szCs w:val="24"/>
        </w:rPr>
        <w:t>due au taux de 1</w:t>
      </w:r>
      <w:r w:rsidR="00BA35E2">
        <w:rPr>
          <w:rFonts w:asciiTheme="majorHAnsi" w:hAnsiTheme="majorHAnsi"/>
          <w:sz w:val="24"/>
          <w:szCs w:val="24"/>
        </w:rPr>
        <w:t>2</w:t>
      </w:r>
      <w:r>
        <w:rPr>
          <w:rFonts w:asciiTheme="majorHAnsi" w:hAnsiTheme="majorHAnsi"/>
          <w:sz w:val="24"/>
          <w:szCs w:val="24"/>
        </w:rPr>
        <w:t xml:space="preserve"> </w:t>
      </w:r>
      <w:r w:rsidRPr="00AA276B">
        <w:rPr>
          <w:rFonts w:asciiTheme="majorHAnsi" w:hAnsiTheme="majorHAnsi"/>
          <w:sz w:val="24"/>
          <w:szCs w:val="24"/>
        </w:rPr>
        <w:t>%</w:t>
      </w:r>
      <w:r w:rsidR="00BA35E2">
        <w:rPr>
          <w:rFonts w:asciiTheme="majorHAnsi" w:hAnsiTheme="majorHAnsi"/>
          <w:sz w:val="24"/>
          <w:szCs w:val="24"/>
        </w:rPr>
        <w:t xml:space="preserve"> (point 12 </w:t>
      </w:r>
      <w:r w:rsidR="00BA35E2" w:rsidRPr="00BA35E2">
        <w:rPr>
          <w:rFonts w:asciiTheme="majorHAnsi" w:hAnsiTheme="majorHAnsi"/>
          <w:b/>
          <w:bCs/>
          <w:i/>
          <w:iCs/>
          <w:sz w:val="24"/>
          <w:szCs w:val="24"/>
        </w:rPr>
        <w:t xml:space="preserve">« les services réalisés en matière informatique » </w:t>
      </w:r>
      <w:r w:rsidR="00BA35E2">
        <w:rPr>
          <w:rFonts w:asciiTheme="majorHAnsi" w:hAnsiTheme="majorHAnsi"/>
          <w:sz w:val="24"/>
          <w:szCs w:val="24"/>
        </w:rPr>
        <w:t xml:space="preserve">du tableau </w:t>
      </w:r>
      <w:r w:rsidR="00BA35E2" w:rsidRPr="00BA35E2">
        <w:rPr>
          <w:rFonts w:asciiTheme="majorHAnsi" w:hAnsiTheme="majorHAnsi"/>
          <w:b/>
          <w:bCs/>
          <w:i/>
          <w:iCs/>
          <w:sz w:val="24"/>
          <w:szCs w:val="24"/>
        </w:rPr>
        <w:t>« B bis »</w:t>
      </w:r>
      <w:r w:rsidR="00BA35E2">
        <w:rPr>
          <w:rFonts w:asciiTheme="majorHAnsi" w:hAnsiTheme="majorHAnsi"/>
          <w:sz w:val="24"/>
          <w:szCs w:val="24"/>
        </w:rPr>
        <w:t xml:space="preserve"> annexé au code TVA)</w:t>
      </w:r>
      <w:r w:rsidRPr="00AA276B">
        <w:rPr>
          <w:rFonts w:asciiTheme="majorHAnsi" w:hAnsiTheme="majorHAnsi"/>
          <w:sz w:val="24"/>
          <w:szCs w:val="24"/>
        </w:rPr>
        <w:t>.</w:t>
      </w:r>
    </w:p>
    <w:p w:rsidR="00A04314" w:rsidRDefault="00A04314" w:rsidP="00A04314">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Etant non établie en Tunisie, la société </w:t>
      </w:r>
      <w:r>
        <w:rPr>
          <w:rFonts w:asciiTheme="majorHAnsi" w:hAnsiTheme="majorHAnsi"/>
          <w:sz w:val="24"/>
          <w:szCs w:val="24"/>
        </w:rPr>
        <w:t>résidente en Espagne</w:t>
      </w:r>
      <w:r w:rsidRPr="00295461">
        <w:rPr>
          <w:rFonts w:asciiTheme="majorHAnsi" w:hAnsiTheme="majorHAnsi"/>
          <w:sz w:val="24"/>
          <w:szCs w:val="24"/>
        </w:rPr>
        <w:t xml:space="preserve"> </w:t>
      </w:r>
      <w:r w:rsidRPr="004139EE">
        <w:rPr>
          <w:rFonts w:asciiTheme="majorHAnsi" w:hAnsiTheme="majorHAnsi"/>
          <w:sz w:val="24"/>
          <w:szCs w:val="24"/>
        </w:rPr>
        <w:t xml:space="preserve">sera soumise </w:t>
      </w:r>
      <w:r>
        <w:rPr>
          <w:rFonts w:asciiTheme="majorHAnsi" w:hAnsiTheme="majorHAnsi"/>
          <w:sz w:val="24"/>
          <w:szCs w:val="24"/>
        </w:rPr>
        <w:t>à</w:t>
      </w:r>
      <w:r w:rsidRPr="004139EE">
        <w:rPr>
          <w:rFonts w:asciiTheme="majorHAnsi" w:hAnsiTheme="majorHAnsi"/>
          <w:sz w:val="24"/>
          <w:szCs w:val="24"/>
        </w:rPr>
        <w:t xml:space="preserve"> la retenue </w:t>
      </w:r>
      <w:r>
        <w:rPr>
          <w:rFonts w:asciiTheme="majorHAnsi" w:hAnsiTheme="majorHAnsi"/>
          <w:sz w:val="24"/>
          <w:szCs w:val="24"/>
        </w:rPr>
        <w:t>à</w:t>
      </w:r>
      <w:r w:rsidRPr="004139EE">
        <w:rPr>
          <w:rFonts w:asciiTheme="majorHAnsi" w:hAnsiTheme="majorHAnsi"/>
          <w:sz w:val="24"/>
          <w:szCs w:val="24"/>
        </w:rPr>
        <w:t xml:space="preserve"> la source au titre de la TVA au taux de 100%, et ceux conformément aux dispositions de l’article 19 du code TVA qui stipule</w:t>
      </w:r>
      <w:r>
        <w:rPr>
          <w:rFonts w:asciiTheme="majorHAnsi" w:hAnsiTheme="majorHAnsi"/>
          <w:sz w:val="24"/>
          <w:szCs w:val="24"/>
        </w:rPr>
        <w:t> :</w:t>
      </w:r>
      <w:r w:rsidRPr="004139EE">
        <w:rPr>
          <w:rFonts w:asciiTheme="majorHAnsi" w:hAnsiTheme="majorHAnsi"/>
          <w:sz w:val="24"/>
          <w:szCs w:val="24"/>
        </w:rPr>
        <w:t xml:space="preserve"> « </w:t>
      </w:r>
      <w:r w:rsidRPr="00436061">
        <w:rPr>
          <w:rFonts w:asciiTheme="majorHAnsi" w:hAnsiTheme="majorHAnsi"/>
          <w:sz w:val="24"/>
          <w:szCs w:val="24"/>
        </w:rPr>
        <w:t xml:space="preserve">en cas de réalisation par les personnes morales et les personne physiques n’ayant pas d’établissement en Tunisie d’opérations soumises </w:t>
      </w:r>
      <w:r>
        <w:rPr>
          <w:rFonts w:asciiTheme="majorHAnsi" w:hAnsiTheme="majorHAnsi"/>
          <w:sz w:val="24"/>
          <w:szCs w:val="24"/>
        </w:rPr>
        <w:t>à</w:t>
      </w:r>
      <w:r w:rsidRPr="00436061">
        <w:rPr>
          <w:rFonts w:asciiTheme="majorHAnsi" w:hAnsiTheme="majorHAnsi"/>
          <w:sz w:val="24"/>
          <w:szCs w:val="24"/>
        </w:rPr>
        <w:t xml:space="preserve"> la taxe sur la valeur ajouté, </w:t>
      </w:r>
      <w:r w:rsidRPr="00436061">
        <w:rPr>
          <w:rFonts w:asciiTheme="majorHAnsi" w:hAnsiTheme="majorHAnsi"/>
          <w:b/>
          <w:bCs/>
          <w:i/>
          <w:iCs/>
          <w:sz w:val="24"/>
          <w:szCs w:val="24"/>
        </w:rPr>
        <w:t>leurs clients</w:t>
      </w:r>
      <w:r w:rsidRPr="00436061">
        <w:rPr>
          <w:rFonts w:asciiTheme="majorHAnsi" w:hAnsiTheme="majorHAnsi"/>
          <w:sz w:val="24"/>
          <w:szCs w:val="24"/>
        </w:rPr>
        <w:t xml:space="preserve"> sont tenus de </w:t>
      </w:r>
      <w:r w:rsidRPr="00427628">
        <w:rPr>
          <w:rFonts w:asciiTheme="majorHAnsi" w:hAnsiTheme="majorHAnsi"/>
          <w:b/>
          <w:bCs/>
          <w:i/>
          <w:iCs/>
          <w:sz w:val="24"/>
          <w:szCs w:val="24"/>
        </w:rPr>
        <w:t>retenir</w:t>
      </w:r>
      <w:r w:rsidRPr="00436061">
        <w:rPr>
          <w:rFonts w:asciiTheme="majorHAnsi" w:hAnsiTheme="majorHAnsi"/>
          <w:sz w:val="24"/>
          <w:szCs w:val="24"/>
        </w:rPr>
        <w:t xml:space="preserve"> la taxe sur la valeur ajouté</w:t>
      </w:r>
      <w:r>
        <w:rPr>
          <w:rFonts w:asciiTheme="majorHAnsi" w:hAnsiTheme="majorHAnsi"/>
          <w:sz w:val="24"/>
          <w:szCs w:val="24"/>
        </w:rPr>
        <w:t>e</w:t>
      </w:r>
      <w:r w:rsidRPr="00436061">
        <w:rPr>
          <w:rFonts w:asciiTheme="majorHAnsi" w:hAnsiTheme="majorHAnsi"/>
          <w:sz w:val="24"/>
          <w:szCs w:val="24"/>
        </w:rPr>
        <w:t xml:space="preserve"> d</w:t>
      </w:r>
      <w:r>
        <w:rPr>
          <w:rFonts w:asciiTheme="majorHAnsi" w:hAnsiTheme="majorHAnsi"/>
          <w:sz w:val="24"/>
          <w:szCs w:val="24"/>
        </w:rPr>
        <w:t>û</w:t>
      </w:r>
      <w:r w:rsidRPr="00436061">
        <w:rPr>
          <w:rFonts w:asciiTheme="majorHAnsi" w:hAnsiTheme="majorHAnsi"/>
          <w:sz w:val="24"/>
          <w:szCs w:val="24"/>
        </w:rPr>
        <w:t xml:space="preserve"> au titre de ces opérations. Cette retenue est libératoire de ladite taxe</w:t>
      </w:r>
      <w:r w:rsidRPr="004139EE">
        <w:rPr>
          <w:rFonts w:asciiTheme="majorHAnsi" w:hAnsiTheme="majorHAnsi"/>
          <w:sz w:val="24"/>
          <w:szCs w:val="24"/>
        </w:rPr>
        <w:t> ». </w:t>
      </w:r>
    </w:p>
    <w:p w:rsidR="00A04314" w:rsidRDefault="00A04314" w:rsidP="00BA35E2">
      <w:pPr>
        <w:tabs>
          <w:tab w:val="left" w:pos="709"/>
        </w:tabs>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 La TVA retenu à la source est déterminée comme suit</w:t>
      </w:r>
      <w:r>
        <w:rPr>
          <w:rFonts w:asciiTheme="majorHAnsi" w:hAnsiTheme="majorHAnsi"/>
          <w:sz w:val="24"/>
          <w:szCs w:val="24"/>
        </w:rPr>
        <w:t> : = 5.000,000</w:t>
      </w:r>
      <w:proofErr w:type="spellStart"/>
      <w:r w:rsidR="0053117D">
        <w:rPr>
          <w:rFonts w:asciiTheme="majorHAnsi" w:hAnsiTheme="majorHAnsi" w:hint="cs"/>
          <w:sz w:val="24"/>
          <w:szCs w:val="24"/>
          <w:rtl/>
        </w:rPr>
        <w:t>×</w:t>
      </w:r>
      <w:proofErr w:type="spellEnd"/>
      <w:r w:rsidR="0053117D">
        <w:rPr>
          <w:rFonts w:asciiTheme="majorHAnsi" w:hAnsiTheme="majorHAnsi" w:hint="cs"/>
          <w:sz w:val="24"/>
          <w:szCs w:val="24"/>
          <w:rtl/>
        </w:rPr>
        <w:t xml:space="preserve"> </w:t>
      </w:r>
      <w:r>
        <w:rPr>
          <w:rFonts w:asciiTheme="majorHAnsi" w:hAnsiTheme="majorHAnsi"/>
          <w:sz w:val="24"/>
          <w:szCs w:val="24"/>
        </w:rPr>
        <w:t xml:space="preserve"> 0,1</w:t>
      </w:r>
      <w:r w:rsidR="00BA35E2">
        <w:rPr>
          <w:rFonts w:asciiTheme="majorHAnsi" w:hAnsiTheme="majorHAnsi"/>
          <w:sz w:val="24"/>
          <w:szCs w:val="24"/>
        </w:rPr>
        <w:t>2</w:t>
      </w:r>
      <w:r>
        <w:rPr>
          <w:rFonts w:asciiTheme="majorHAnsi" w:hAnsiTheme="majorHAnsi"/>
          <w:sz w:val="24"/>
          <w:szCs w:val="24"/>
        </w:rPr>
        <w:t xml:space="preserve"> = </w:t>
      </w:r>
      <w:r w:rsidR="00BA35E2">
        <w:rPr>
          <w:rFonts w:asciiTheme="majorHAnsi" w:hAnsiTheme="majorHAnsi"/>
          <w:sz w:val="24"/>
          <w:szCs w:val="24"/>
        </w:rPr>
        <w:t>6</w:t>
      </w:r>
      <w:r>
        <w:rPr>
          <w:rFonts w:asciiTheme="majorHAnsi" w:hAnsiTheme="majorHAnsi"/>
          <w:sz w:val="24"/>
          <w:szCs w:val="24"/>
        </w:rPr>
        <w:t>00,000 TND</w:t>
      </w:r>
    </w:p>
    <w:p w:rsidR="00A04314" w:rsidRDefault="00A04314" w:rsidP="00A04314">
      <w:pPr>
        <w:spacing w:before="120" w:after="120" w:line="360" w:lineRule="auto"/>
        <w:jc w:val="both"/>
        <w:rPr>
          <w:rFonts w:asciiTheme="majorHAnsi" w:hAnsiTheme="majorHAnsi"/>
          <w:sz w:val="24"/>
          <w:szCs w:val="24"/>
        </w:rPr>
      </w:pPr>
      <w:r w:rsidRPr="00AA276B">
        <w:rPr>
          <w:rFonts w:asciiTheme="majorHAnsi" w:hAnsiTheme="majorHAnsi"/>
          <w:sz w:val="24"/>
          <w:szCs w:val="24"/>
        </w:rPr>
        <w:lastRenderedPageBreak/>
        <w:t xml:space="preserve">Cependant, la société </w:t>
      </w:r>
      <w:r>
        <w:rPr>
          <w:rFonts w:asciiTheme="majorHAnsi" w:hAnsiTheme="majorHAnsi"/>
          <w:sz w:val="24"/>
          <w:szCs w:val="24"/>
        </w:rPr>
        <w:t xml:space="preserve">résidente en Espagne </w:t>
      </w:r>
      <w:r w:rsidRPr="00AA276B">
        <w:rPr>
          <w:rFonts w:asciiTheme="majorHAnsi" w:hAnsiTheme="majorHAnsi"/>
          <w:sz w:val="24"/>
          <w:szCs w:val="24"/>
        </w:rPr>
        <w:t xml:space="preserve">peut toujours </w:t>
      </w:r>
      <w:r w:rsidRPr="006E0FF6">
        <w:rPr>
          <w:rFonts w:asciiTheme="majorHAnsi" w:hAnsiTheme="majorHAnsi"/>
          <w:sz w:val="24"/>
          <w:szCs w:val="24"/>
        </w:rPr>
        <w:t xml:space="preserve">opter </w:t>
      </w:r>
      <w:r w:rsidRPr="00AA276B">
        <w:rPr>
          <w:rFonts w:asciiTheme="majorHAnsi" w:hAnsiTheme="majorHAnsi"/>
          <w:sz w:val="24"/>
          <w:szCs w:val="24"/>
        </w:rPr>
        <w:t>pour son</w:t>
      </w:r>
      <w:r>
        <w:rPr>
          <w:rFonts w:asciiTheme="majorHAnsi" w:hAnsiTheme="majorHAnsi"/>
          <w:sz w:val="24"/>
          <w:szCs w:val="24"/>
        </w:rPr>
        <w:t xml:space="preserve"> </w:t>
      </w:r>
      <w:r w:rsidRPr="00AA276B">
        <w:rPr>
          <w:rFonts w:asciiTheme="majorHAnsi" w:hAnsiTheme="majorHAnsi"/>
          <w:sz w:val="24"/>
          <w:szCs w:val="24"/>
        </w:rPr>
        <w:t>assujettissement à la TVA selon le régime de droit commun. Dans ce cas</w:t>
      </w:r>
      <w:r>
        <w:rPr>
          <w:rFonts w:asciiTheme="majorHAnsi" w:hAnsiTheme="majorHAnsi"/>
          <w:sz w:val="24"/>
          <w:szCs w:val="24"/>
        </w:rPr>
        <w:t>,</w:t>
      </w:r>
      <w:r w:rsidRPr="00AA276B">
        <w:rPr>
          <w:rFonts w:asciiTheme="majorHAnsi" w:hAnsiTheme="majorHAnsi"/>
          <w:sz w:val="24"/>
          <w:szCs w:val="24"/>
        </w:rPr>
        <w:t xml:space="preserve"> elle</w:t>
      </w:r>
      <w:r>
        <w:rPr>
          <w:rFonts w:asciiTheme="majorHAnsi" w:hAnsiTheme="majorHAnsi"/>
          <w:sz w:val="24"/>
          <w:szCs w:val="24"/>
        </w:rPr>
        <w:t xml:space="preserve"> </w:t>
      </w:r>
      <w:r w:rsidRPr="00AA276B">
        <w:rPr>
          <w:rFonts w:asciiTheme="majorHAnsi" w:hAnsiTheme="majorHAnsi"/>
          <w:sz w:val="24"/>
          <w:szCs w:val="24"/>
        </w:rPr>
        <w:t>bénéficie de la déduction de la TVA ayant grevé les marchandises et les services</w:t>
      </w:r>
      <w:r>
        <w:rPr>
          <w:rFonts w:asciiTheme="majorHAnsi" w:hAnsiTheme="majorHAnsi"/>
          <w:sz w:val="24"/>
          <w:szCs w:val="24"/>
        </w:rPr>
        <w:t xml:space="preserve"> </w:t>
      </w:r>
      <w:r w:rsidRPr="00AA276B">
        <w:rPr>
          <w:rFonts w:asciiTheme="majorHAnsi" w:hAnsiTheme="majorHAnsi"/>
          <w:sz w:val="24"/>
          <w:szCs w:val="24"/>
        </w:rPr>
        <w:t>nécessaires à la réalisation des opérations soumises à ladite taxe. En cas</w:t>
      </w:r>
      <w:r>
        <w:rPr>
          <w:rFonts w:asciiTheme="majorHAnsi" w:hAnsiTheme="majorHAnsi"/>
          <w:sz w:val="24"/>
          <w:szCs w:val="24"/>
        </w:rPr>
        <w:t xml:space="preserve"> </w:t>
      </w:r>
      <w:r w:rsidRPr="00AA276B">
        <w:rPr>
          <w:rFonts w:asciiTheme="majorHAnsi" w:hAnsiTheme="majorHAnsi"/>
          <w:sz w:val="24"/>
          <w:szCs w:val="24"/>
        </w:rPr>
        <w:t>d’apparition d’un crédit de taxe, ce dernier est remboursable conformément à la</w:t>
      </w:r>
      <w:r>
        <w:rPr>
          <w:rFonts w:asciiTheme="majorHAnsi" w:hAnsiTheme="majorHAnsi"/>
          <w:sz w:val="24"/>
          <w:szCs w:val="24"/>
        </w:rPr>
        <w:t xml:space="preserve"> </w:t>
      </w:r>
      <w:r w:rsidRPr="00AA276B">
        <w:rPr>
          <w:rFonts w:asciiTheme="majorHAnsi" w:hAnsiTheme="majorHAnsi"/>
          <w:sz w:val="24"/>
          <w:szCs w:val="24"/>
        </w:rPr>
        <w:t>législation en vigueur</w:t>
      </w:r>
      <w:r>
        <w:rPr>
          <w:rFonts w:asciiTheme="majorHAnsi" w:hAnsiTheme="majorHAnsi"/>
          <w:sz w:val="24"/>
          <w:szCs w:val="24"/>
        </w:rPr>
        <w:t>.</w:t>
      </w:r>
    </w:p>
    <w:sectPr w:rsidR="00A04314" w:rsidSect="00553406">
      <w:headerReference w:type="default" r:id="rId10"/>
      <w:footerReference w:type="default" r:id="rId11"/>
      <w:pgSz w:w="11906" w:h="16838"/>
      <w:pgMar w:top="851"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8BB" w:rsidRDefault="002948BB" w:rsidP="00A7596E">
      <w:pPr>
        <w:spacing w:after="0" w:line="240" w:lineRule="auto"/>
      </w:pPr>
      <w:r>
        <w:separator/>
      </w:r>
    </w:p>
  </w:endnote>
  <w:endnote w:type="continuationSeparator" w:id="0">
    <w:p w:rsidR="002948BB" w:rsidRDefault="002948BB" w:rsidP="00A75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5C2" w:rsidRDefault="00CE25C2" w:rsidP="009571A0">
    <w:pPr>
      <w:pStyle w:val="Pieddepage"/>
      <w:pBdr>
        <w:top w:val="thinThickSmallGap" w:sz="24" w:space="1" w:color="622423" w:themeColor="accent2" w:themeShade="7F"/>
      </w:pBdr>
      <w:rPr>
        <w:rFonts w:asciiTheme="majorHAnsi" w:hAnsiTheme="majorHAnsi"/>
      </w:rPr>
    </w:pPr>
    <w:r>
      <w:rPr>
        <w:rFonts w:asciiTheme="majorHAnsi" w:hAnsiTheme="majorHAnsi"/>
      </w:rPr>
      <w:t>Eléments du cours préparé par Mr SBAI Mounir, 201</w:t>
    </w:r>
    <w:r w:rsidR="009571A0">
      <w:rPr>
        <w:rFonts w:asciiTheme="majorHAnsi" w:hAnsiTheme="majorHAnsi"/>
      </w:rPr>
      <w:t>3</w:t>
    </w:r>
    <w:r>
      <w:rPr>
        <w:rFonts w:asciiTheme="majorHAnsi" w:hAnsiTheme="majorHAnsi"/>
      </w:rPr>
      <w:t>-201</w:t>
    </w:r>
    <w:r w:rsidR="009571A0">
      <w:rPr>
        <w:rFonts w:asciiTheme="majorHAnsi" w:hAnsiTheme="majorHAnsi"/>
      </w:rPr>
      <w:t>4</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285AD6" w:rsidRPr="00285AD6">
        <w:rPr>
          <w:rFonts w:asciiTheme="majorHAnsi" w:hAnsiTheme="majorHAnsi"/>
          <w:noProof/>
        </w:rPr>
        <w:t>10</w:t>
      </w:r>
    </w:fldSimple>
  </w:p>
  <w:p w:rsidR="00CE25C2" w:rsidRDefault="00CE25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8BB" w:rsidRDefault="002948BB" w:rsidP="00A7596E">
      <w:pPr>
        <w:spacing w:after="0" w:line="240" w:lineRule="auto"/>
      </w:pPr>
      <w:r>
        <w:separator/>
      </w:r>
    </w:p>
  </w:footnote>
  <w:footnote w:type="continuationSeparator" w:id="0">
    <w:p w:rsidR="002948BB" w:rsidRDefault="002948BB" w:rsidP="00A75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9571A0">
      <w:trPr>
        <w:trHeight w:val="288"/>
      </w:trPr>
      <w:sdt>
        <w:sdtPr>
          <w:alias w:val="Titre"/>
          <w:id w:val="77761602"/>
          <w:placeholder>
            <w:docPart w:val="E80B8DF623FD423AA45635E50F72941E"/>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9571A0" w:rsidRDefault="009571A0">
              <w:pPr>
                <w:pStyle w:val="En-tte"/>
                <w:jc w:val="right"/>
                <w:rPr>
                  <w:rFonts w:asciiTheme="majorHAnsi" w:eastAsiaTheme="majorEastAsia" w:hAnsiTheme="majorHAnsi" w:cstheme="majorBidi"/>
                  <w:sz w:val="36"/>
                  <w:szCs w:val="36"/>
                </w:rPr>
              </w:pPr>
              <w:r w:rsidRPr="009571A0">
                <w:t xml:space="preserve">Analyse des cas de fiscalité approfondie: </w:t>
              </w:r>
              <w:proofErr w:type="gramStart"/>
              <w:r w:rsidRPr="009571A0">
                <w:t>CES révision comptable</w:t>
              </w:r>
              <w:proofErr w:type="gramEnd"/>
              <w:r w:rsidRPr="009571A0">
                <w:t>, ISG Tunis</w:t>
              </w:r>
            </w:p>
          </w:tc>
        </w:sdtContent>
      </w:sdt>
      <w:sdt>
        <w:sdtPr>
          <w:rPr>
            <w:rFonts w:asciiTheme="majorHAnsi" w:eastAsiaTheme="majorEastAsia" w:hAnsiTheme="majorHAnsi" w:cstheme="majorBidi"/>
            <w:b/>
            <w:bCs/>
            <w:color w:val="4F81BD" w:themeColor="accent1"/>
            <w:sz w:val="32"/>
            <w:szCs w:val="32"/>
          </w:rPr>
          <w:alias w:val="Année"/>
          <w:id w:val="77761609"/>
          <w:placeholder>
            <w:docPart w:val="244939A32AB04117BAC1E9F4C582179D"/>
          </w:placeholder>
          <w:dataBinding w:prefixMappings="xmlns:ns0='http://schemas.microsoft.com/office/2006/coverPageProps'" w:xpath="/ns0:CoverPageProperties[1]/ns0:PublishDate[1]" w:storeItemID="{55AF091B-3C7A-41E3-B477-F2FDAA23CFDA}"/>
          <w:date w:fullDate="2014-01-20T00:00:00Z">
            <w:dateFormat w:val="yyyy"/>
            <w:lid w:val="fr-FR"/>
            <w:storeMappedDataAs w:val="dateTime"/>
            <w:calendar w:val="gregorian"/>
          </w:date>
        </w:sdtPr>
        <w:sdtContent>
          <w:tc>
            <w:tcPr>
              <w:tcW w:w="1105" w:type="dxa"/>
            </w:tcPr>
            <w:p w:rsidR="009571A0" w:rsidRDefault="009571A0">
              <w:pPr>
                <w:pStyle w:val="En-tte"/>
                <w:rPr>
                  <w:rFonts w:asciiTheme="majorHAnsi" w:eastAsiaTheme="majorEastAsia" w:hAnsiTheme="majorHAnsi" w:cstheme="majorBidi"/>
                  <w:b/>
                  <w:bCs/>
                  <w:color w:val="4F81BD" w:themeColor="accent1"/>
                  <w:sz w:val="36"/>
                  <w:szCs w:val="36"/>
                </w:rPr>
              </w:pPr>
              <w:r w:rsidRPr="009571A0">
                <w:rPr>
                  <w:rFonts w:asciiTheme="majorHAnsi" w:eastAsiaTheme="majorEastAsia" w:hAnsiTheme="majorHAnsi" w:cstheme="majorBidi"/>
                  <w:b/>
                  <w:bCs/>
                  <w:color w:val="4F81BD" w:themeColor="accent1"/>
                  <w:sz w:val="32"/>
                  <w:szCs w:val="32"/>
                </w:rPr>
                <w:t>2014</w:t>
              </w:r>
            </w:p>
          </w:tc>
        </w:sdtContent>
      </w:sdt>
    </w:tr>
  </w:tbl>
  <w:p w:rsidR="00CE25C2" w:rsidRDefault="00CE25C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0A0"/>
    <w:multiLevelType w:val="hybridMultilevel"/>
    <w:tmpl w:val="9340820E"/>
    <w:lvl w:ilvl="0" w:tplc="A6A6D53A">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A9A7164"/>
    <w:multiLevelType w:val="hybridMultilevel"/>
    <w:tmpl w:val="B90452AE"/>
    <w:lvl w:ilvl="0" w:tplc="DF9E525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0D855B25"/>
    <w:multiLevelType w:val="hybridMultilevel"/>
    <w:tmpl w:val="AB50AD10"/>
    <w:lvl w:ilvl="0" w:tplc="CA8CF1D2">
      <w:numFmt w:val="bullet"/>
      <w:lvlText w:val="-"/>
      <w:lvlJc w:val="left"/>
      <w:pPr>
        <w:ind w:left="720" w:hanging="360"/>
      </w:pPr>
      <w:rPr>
        <w:rFonts w:ascii="Cambria" w:eastAsiaTheme="minorHAnsi" w:hAnsi="Cambria" w:cstheme="minorBidi"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BE1B2A"/>
    <w:multiLevelType w:val="hybridMultilevel"/>
    <w:tmpl w:val="8EDAB002"/>
    <w:lvl w:ilvl="0" w:tplc="EE2A846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4945A7"/>
    <w:multiLevelType w:val="hybridMultilevel"/>
    <w:tmpl w:val="578CF458"/>
    <w:lvl w:ilvl="0" w:tplc="57305A30">
      <w:start w:val="1"/>
      <w:numFmt w:val="upp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5">
    <w:nsid w:val="15D6546B"/>
    <w:multiLevelType w:val="hybridMultilevel"/>
    <w:tmpl w:val="9AE251C2"/>
    <w:lvl w:ilvl="0" w:tplc="0610F4B0">
      <w:start w:val="1"/>
      <w:numFmt w:val="upperRoman"/>
      <w:lvlText w:val="%1-"/>
      <w:lvlJc w:val="left"/>
      <w:pPr>
        <w:ind w:left="143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803DFC"/>
    <w:multiLevelType w:val="hybridMultilevel"/>
    <w:tmpl w:val="3612BE64"/>
    <w:lvl w:ilvl="0" w:tplc="79F676A2">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7D56C0C"/>
    <w:multiLevelType w:val="hybridMultilevel"/>
    <w:tmpl w:val="6632F182"/>
    <w:lvl w:ilvl="0" w:tplc="D1BCABB2">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F835F1"/>
    <w:multiLevelType w:val="hybridMultilevel"/>
    <w:tmpl w:val="A16C3E44"/>
    <w:lvl w:ilvl="0" w:tplc="F9EC7C5E">
      <w:start w:val="1"/>
      <w:numFmt w:val="decimal"/>
      <w:lvlText w:val="%1-"/>
      <w:lvlJc w:val="left"/>
      <w:pPr>
        <w:ind w:left="50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1F2F1518"/>
    <w:multiLevelType w:val="hybridMultilevel"/>
    <w:tmpl w:val="45D8BC90"/>
    <w:lvl w:ilvl="0" w:tplc="89004C1C">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1550D5"/>
    <w:multiLevelType w:val="hybridMultilevel"/>
    <w:tmpl w:val="3CC6F3D0"/>
    <w:lvl w:ilvl="0" w:tplc="F59E7786">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2B0F08"/>
    <w:multiLevelType w:val="hybridMultilevel"/>
    <w:tmpl w:val="E7DC63F0"/>
    <w:lvl w:ilvl="0" w:tplc="01D6E732">
      <w:start w:val="2"/>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380A6F"/>
    <w:multiLevelType w:val="hybridMultilevel"/>
    <w:tmpl w:val="87C4ED9A"/>
    <w:lvl w:ilvl="0" w:tplc="EA0A314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nsid w:val="2D1F49DA"/>
    <w:multiLevelType w:val="hybridMultilevel"/>
    <w:tmpl w:val="F264957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nsid w:val="301845BB"/>
    <w:multiLevelType w:val="hybridMultilevel"/>
    <w:tmpl w:val="02EA2C00"/>
    <w:lvl w:ilvl="0" w:tplc="80B06330">
      <w:start w:val="1"/>
      <w:numFmt w:val="bullet"/>
      <w:lvlText w:val=""/>
      <w:lvlJc w:val="left"/>
      <w:pPr>
        <w:ind w:left="1440" w:hanging="360"/>
      </w:pPr>
      <w:rPr>
        <w:rFonts w:ascii="Symbol" w:hAnsi="Symbol" w:hint="default"/>
        <w:sz w:val="20"/>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0F5528F"/>
    <w:multiLevelType w:val="hybridMultilevel"/>
    <w:tmpl w:val="6538B49A"/>
    <w:lvl w:ilvl="0" w:tplc="EB4C7288">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D66219"/>
    <w:multiLevelType w:val="hybridMultilevel"/>
    <w:tmpl w:val="5BC85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171D82"/>
    <w:multiLevelType w:val="hybridMultilevel"/>
    <w:tmpl w:val="EEE43BC0"/>
    <w:lvl w:ilvl="0" w:tplc="BD54EB9C">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FF1DAA"/>
    <w:multiLevelType w:val="hybridMultilevel"/>
    <w:tmpl w:val="E4B0B700"/>
    <w:lvl w:ilvl="0" w:tplc="20FE26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C9B4C98"/>
    <w:multiLevelType w:val="hybridMultilevel"/>
    <w:tmpl w:val="7F8CB92A"/>
    <w:lvl w:ilvl="0" w:tplc="24E02B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2E75968"/>
    <w:multiLevelType w:val="hybridMultilevel"/>
    <w:tmpl w:val="A054540C"/>
    <w:lvl w:ilvl="0" w:tplc="DFBE1C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53F53A8"/>
    <w:multiLevelType w:val="hybridMultilevel"/>
    <w:tmpl w:val="6D585064"/>
    <w:lvl w:ilvl="0" w:tplc="7104071A">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DE3988"/>
    <w:multiLevelType w:val="hybridMultilevel"/>
    <w:tmpl w:val="4C329CAC"/>
    <w:lvl w:ilvl="0" w:tplc="F4B68344">
      <w:start w:val="1"/>
      <w:numFmt w:val="upperRoman"/>
      <w:lvlText w:val="%1-"/>
      <w:lvlJc w:val="left"/>
      <w:pPr>
        <w:ind w:left="2564" w:hanging="720"/>
      </w:pPr>
      <w:rPr>
        <w:rFonts w:hint="default"/>
        <w:b/>
        <w:bCs/>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23">
    <w:nsid w:val="4C971155"/>
    <w:multiLevelType w:val="hybridMultilevel"/>
    <w:tmpl w:val="134E13E2"/>
    <w:lvl w:ilvl="0" w:tplc="27B80244">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495593"/>
    <w:multiLevelType w:val="hybridMultilevel"/>
    <w:tmpl w:val="75E075F6"/>
    <w:lvl w:ilvl="0" w:tplc="81CCF2D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2AF3834"/>
    <w:multiLevelType w:val="hybridMultilevel"/>
    <w:tmpl w:val="9588F700"/>
    <w:lvl w:ilvl="0" w:tplc="5B7062E2">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2B2A39"/>
    <w:multiLevelType w:val="hybridMultilevel"/>
    <w:tmpl w:val="2AA0B3D6"/>
    <w:lvl w:ilvl="0" w:tplc="E01E5D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76D425E"/>
    <w:multiLevelType w:val="hybridMultilevel"/>
    <w:tmpl w:val="E0EC5DC6"/>
    <w:lvl w:ilvl="0" w:tplc="9044ED4A">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9542C2D"/>
    <w:multiLevelType w:val="hybridMultilevel"/>
    <w:tmpl w:val="B90452AE"/>
    <w:lvl w:ilvl="0" w:tplc="DF9E525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nsid w:val="5A621D3E"/>
    <w:multiLevelType w:val="hybridMultilevel"/>
    <w:tmpl w:val="5170A0B0"/>
    <w:lvl w:ilvl="0" w:tplc="93A4A910">
      <w:start w:val="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B507CA"/>
    <w:multiLevelType w:val="hybridMultilevel"/>
    <w:tmpl w:val="9AE251C2"/>
    <w:lvl w:ilvl="0" w:tplc="0610F4B0">
      <w:start w:val="1"/>
      <w:numFmt w:val="upperRoman"/>
      <w:lvlText w:val="%1-"/>
      <w:lvlJc w:val="left"/>
      <w:pPr>
        <w:ind w:left="143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C255131"/>
    <w:multiLevelType w:val="hybridMultilevel"/>
    <w:tmpl w:val="A7CA97C4"/>
    <w:lvl w:ilvl="0" w:tplc="9EA473D4">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D0550E3"/>
    <w:multiLevelType w:val="hybridMultilevel"/>
    <w:tmpl w:val="E4B0B700"/>
    <w:lvl w:ilvl="0" w:tplc="20FE26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D5561E0"/>
    <w:multiLevelType w:val="hybridMultilevel"/>
    <w:tmpl w:val="A054540C"/>
    <w:lvl w:ilvl="0" w:tplc="DFBE1C8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4">
    <w:nsid w:val="62702270"/>
    <w:multiLevelType w:val="hybridMultilevel"/>
    <w:tmpl w:val="5B683C46"/>
    <w:lvl w:ilvl="0" w:tplc="2C4A715C">
      <w:numFmt w:val="bullet"/>
      <w:lvlText w:val="-"/>
      <w:lvlJc w:val="left"/>
      <w:pPr>
        <w:ind w:left="1440" w:hanging="360"/>
      </w:pPr>
      <w:rPr>
        <w:rFonts w:ascii="Cambria" w:eastAsiaTheme="minorHAnsi" w:hAnsi="Cambria" w:cstheme="minorBidi"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62DE2A10"/>
    <w:multiLevelType w:val="hybridMultilevel"/>
    <w:tmpl w:val="05CA5A04"/>
    <w:lvl w:ilvl="0" w:tplc="040C0001">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32E32EF"/>
    <w:multiLevelType w:val="hybridMultilevel"/>
    <w:tmpl w:val="70364EB8"/>
    <w:lvl w:ilvl="0" w:tplc="62689D90">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35F0977"/>
    <w:multiLevelType w:val="hybridMultilevel"/>
    <w:tmpl w:val="631A5B48"/>
    <w:lvl w:ilvl="0" w:tplc="D7EC3BE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6D371A0"/>
    <w:multiLevelType w:val="hybridMultilevel"/>
    <w:tmpl w:val="41AA9864"/>
    <w:lvl w:ilvl="0" w:tplc="E46A6EB6">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913C12"/>
    <w:multiLevelType w:val="hybridMultilevel"/>
    <w:tmpl w:val="364A3F88"/>
    <w:lvl w:ilvl="0" w:tplc="AC026A74">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A539C3"/>
    <w:multiLevelType w:val="hybridMultilevel"/>
    <w:tmpl w:val="6FA80532"/>
    <w:lvl w:ilvl="0" w:tplc="D1BCABB2">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E95F29"/>
    <w:multiLevelType w:val="hybridMultilevel"/>
    <w:tmpl w:val="F6720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A2C300C"/>
    <w:multiLevelType w:val="hybridMultilevel"/>
    <w:tmpl w:val="67663A8C"/>
    <w:lvl w:ilvl="0" w:tplc="9EEA1108">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BAC530D"/>
    <w:multiLevelType w:val="hybridMultilevel"/>
    <w:tmpl w:val="0A4C53A2"/>
    <w:lvl w:ilvl="0" w:tplc="66EA8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CEA7187"/>
    <w:multiLevelType w:val="hybridMultilevel"/>
    <w:tmpl w:val="3D44D8FE"/>
    <w:lvl w:ilvl="0" w:tplc="279E3E28">
      <w:start w:val="1"/>
      <w:numFmt w:val="bullet"/>
      <w:lvlText w:val=""/>
      <w:lvlJc w:val="left"/>
      <w:pPr>
        <w:ind w:left="720" w:hanging="360"/>
      </w:pPr>
      <w:rPr>
        <w:rFonts w:ascii="Symbol" w:hAnsi="Symbol" w:hint="default"/>
        <w:b/>
        <w:bCs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20"/>
  </w:num>
  <w:num w:numId="4">
    <w:abstractNumId w:val="38"/>
  </w:num>
  <w:num w:numId="5">
    <w:abstractNumId w:val="33"/>
  </w:num>
  <w:num w:numId="6">
    <w:abstractNumId w:val="2"/>
  </w:num>
  <w:num w:numId="7">
    <w:abstractNumId w:val="24"/>
  </w:num>
  <w:num w:numId="8">
    <w:abstractNumId w:val="27"/>
  </w:num>
  <w:num w:numId="9">
    <w:abstractNumId w:val="28"/>
  </w:num>
  <w:num w:numId="10">
    <w:abstractNumId w:val="37"/>
  </w:num>
  <w:num w:numId="11">
    <w:abstractNumId w:val="32"/>
  </w:num>
  <w:num w:numId="12">
    <w:abstractNumId w:val="21"/>
  </w:num>
  <w:num w:numId="13">
    <w:abstractNumId w:val="18"/>
  </w:num>
  <w:num w:numId="14">
    <w:abstractNumId w:val="8"/>
  </w:num>
  <w:num w:numId="15">
    <w:abstractNumId w:val="0"/>
  </w:num>
  <w:num w:numId="16">
    <w:abstractNumId w:val="17"/>
  </w:num>
  <w:num w:numId="17">
    <w:abstractNumId w:val="12"/>
  </w:num>
  <w:num w:numId="18">
    <w:abstractNumId w:val="4"/>
  </w:num>
  <w:num w:numId="19">
    <w:abstractNumId w:val="23"/>
  </w:num>
  <w:num w:numId="20">
    <w:abstractNumId w:val="11"/>
  </w:num>
  <w:num w:numId="21">
    <w:abstractNumId w:val="31"/>
  </w:num>
  <w:num w:numId="22">
    <w:abstractNumId w:val="13"/>
  </w:num>
  <w:num w:numId="23">
    <w:abstractNumId w:val="1"/>
  </w:num>
  <w:num w:numId="24">
    <w:abstractNumId w:val="44"/>
  </w:num>
  <w:num w:numId="25">
    <w:abstractNumId w:val="41"/>
  </w:num>
  <w:num w:numId="26">
    <w:abstractNumId w:val="43"/>
  </w:num>
  <w:num w:numId="27">
    <w:abstractNumId w:val="10"/>
  </w:num>
  <w:num w:numId="28">
    <w:abstractNumId w:val="25"/>
  </w:num>
  <w:num w:numId="29">
    <w:abstractNumId w:val="5"/>
  </w:num>
  <w:num w:numId="30">
    <w:abstractNumId w:val="19"/>
  </w:num>
  <w:num w:numId="31">
    <w:abstractNumId w:val="15"/>
  </w:num>
  <w:num w:numId="32">
    <w:abstractNumId w:val="7"/>
  </w:num>
  <w:num w:numId="33">
    <w:abstractNumId w:val="40"/>
  </w:num>
  <w:num w:numId="34">
    <w:abstractNumId w:val="42"/>
  </w:num>
  <w:num w:numId="35">
    <w:abstractNumId w:val="36"/>
  </w:num>
  <w:num w:numId="36">
    <w:abstractNumId w:val="35"/>
  </w:num>
  <w:num w:numId="37">
    <w:abstractNumId w:val="26"/>
  </w:num>
  <w:num w:numId="38">
    <w:abstractNumId w:val="22"/>
  </w:num>
  <w:num w:numId="39">
    <w:abstractNumId w:val="6"/>
  </w:num>
  <w:num w:numId="40">
    <w:abstractNumId w:val="39"/>
  </w:num>
  <w:num w:numId="41">
    <w:abstractNumId w:val="29"/>
  </w:num>
  <w:num w:numId="42">
    <w:abstractNumId w:val="14"/>
  </w:num>
  <w:num w:numId="43">
    <w:abstractNumId w:val="34"/>
  </w:num>
  <w:num w:numId="44">
    <w:abstractNumId w:val="16"/>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FE0696"/>
    <w:rsid w:val="0000036C"/>
    <w:rsid w:val="00002B64"/>
    <w:rsid w:val="00003C91"/>
    <w:rsid w:val="0000459B"/>
    <w:rsid w:val="00004F26"/>
    <w:rsid w:val="00011439"/>
    <w:rsid w:val="00012CC4"/>
    <w:rsid w:val="000132A4"/>
    <w:rsid w:val="00017AFD"/>
    <w:rsid w:val="00024D78"/>
    <w:rsid w:val="000339A6"/>
    <w:rsid w:val="00045826"/>
    <w:rsid w:val="00053EFD"/>
    <w:rsid w:val="00055B54"/>
    <w:rsid w:val="00055CE8"/>
    <w:rsid w:val="00060362"/>
    <w:rsid w:val="00073FF9"/>
    <w:rsid w:val="00082D40"/>
    <w:rsid w:val="00085F91"/>
    <w:rsid w:val="000865EC"/>
    <w:rsid w:val="00087089"/>
    <w:rsid w:val="0009033B"/>
    <w:rsid w:val="000B07C2"/>
    <w:rsid w:val="000B3264"/>
    <w:rsid w:val="000C225B"/>
    <w:rsid w:val="000D184F"/>
    <w:rsid w:val="000D456F"/>
    <w:rsid w:val="000E0435"/>
    <w:rsid w:val="000E6444"/>
    <w:rsid w:val="000F03E9"/>
    <w:rsid w:val="000F60B7"/>
    <w:rsid w:val="00107DF1"/>
    <w:rsid w:val="001145F6"/>
    <w:rsid w:val="001174E4"/>
    <w:rsid w:val="00121EC9"/>
    <w:rsid w:val="001243C7"/>
    <w:rsid w:val="00130FB3"/>
    <w:rsid w:val="0013220D"/>
    <w:rsid w:val="0013298E"/>
    <w:rsid w:val="001353DF"/>
    <w:rsid w:val="00143C8C"/>
    <w:rsid w:val="00144E5B"/>
    <w:rsid w:val="00156070"/>
    <w:rsid w:val="00164E89"/>
    <w:rsid w:val="00173A1B"/>
    <w:rsid w:val="00173C6C"/>
    <w:rsid w:val="0018137F"/>
    <w:rsid w:val="00183D33"/>
    <w:rsid w:val="001877A6"/>
    <w:rsid w:val="00196714"/>
    <w:rsid w:val="0019792C"/>
    <w:rsid w:val="001B2040"/>
    <w:rsid w:val="001B28F0"/>
    <w:rsid w:val="001B2CC9"/>
    <w:rsid w:val="001B7009"/>
    <w:rsid w:val="001C1419"/>
    <w:rsid w:val="001D4B79"/>
    <w:rsid w:val="001D7469"/>
    <w:rsid w:val="001D7A76"/>
    <w:rsid w:val="001E0A1F"/>
    <w:rsid w:val="001E5FAE"/>
    <w:rsid w:val="001E7CF1"/>
    <w:rsid w:val="001F42EA"/>
    <w:rsid w:val="001F5CE0"/>
    <w:rsid w:val="001F6878"/>
    <w:rsid w:val="00200312"/>
    <w:rsid w:val="0020083C"/>
    <w:rsid w:val="002059B4"/>
    <w:rsid w:val="002105CA"/>
    <w:rsid w:val="002105EA"/>
    <w:rsid w:val="002146FB"/>
    <w:rsid w:val="002200EE"/>
    <w:rsid w:val="002208FA"/>
    <w:rsid w:val="00220D50"/>
    <w:rsid w:val="00224CCC"/>
    <w:rsid w:val="002250F6"/>
    <w:rsid w:val="00230FDD"/>
    <w:rsid w:val="0023307B"/>
    <w:rsid w:val="00234F6E"/>
    <w:rsid w:val="002360F7"/>
    <w:rsid w:val="00242862"/>
    <w:rsid w:val="00243507"/>
    <w:rsid w:val="0024373F"/>
    <w:rsid w:val="002459E8"/>
    <w:rsid w:val="00247B29"/>
    <w:rsid w:val="0025071C"/>
    <w:rsid w:val="00256C1F"/>
    <w:rsid w:val="00257CFE"/>
    <w:rsid w:val="002613FD"/>
    <w:rsid w:val="00261B30"/>
    <w:rsid w:val="00263573"/>
    <w:rsid w:val="002644C4"/>
    <w:rsid w:val="00264A56"/>
    <w:rsid w:val="00273852"/>
    <w:rsid w:val="00274FB3"/>
    <w:rsid w:val="002757BF"/>
    <w:rsid w:val="00285AD6"/>
    <w:rsid w:val="00290324"/>
    <w:rsid w:val="00291A95"/>
    <w:rsid w:val="00291CD0"/>
    <w:rsid w:val="002922A3"/>
    <w:rsid w:val="002948BB"/>
    <w:rsid w:val="00295461"/>
    <w:rsid w:val="00297AFE"/>
    <w:rsid w:val="002A0288"/>
    <w:rsid w:val="002B0B4F"/>
    <w:rsid w:val="002B2EC2"/>
    <w:rsid w:val="002C4803"/>
    <w:rsid w:val="002D435C"/>
    <w:rsid w:val="002D485A"/>
    <w:rsid w:val="002D4935"/>
    <w:rsid w:val="002F36BF"/>
    <w:rsid w:val="002F373A"/>
    <w:rsid w:val="002F5C01"/>
    <w:rsid w:val="002F750A"/>
    <w:rsid w:val="00302645"/>
    <w:rsid w:val="0031228C"/>
    <w:rsid w:val="0031657B"/>
    <w:rsid w:val="00317106"/>
    <w:rsid w:val="003254B2"/>
    <w:rsid w:val="003370A9"/>
    <w:rsid w:val="00340323"/>
    <w:rsid w:val="00347312"/>
    <w:rsid w:val="00354407"/>
    <w:rsid w:val="00356B3A"/>
    <w:rsid w:val="003675F1"/>
    <w:rsid w:val="003704E8"/>
    <w:rsid w:val="00384A49"/>
    <w:rsid w:val="00397137"/>
    <w:rsid w:val="003A25CA"/>
    <w:rsid w:val="003A3292"/>
    <w:rsid w:val="003B73A3"/>
    <w:rsid w:val="003C6204"/>
    <w:rsid w:val="003E03E0"/>
    <w:rsid w:val="003E08DD"/>
    <w:rsid w:val="003E5A36"/>
    <w:rsid w:val="003F556D"/>
    <w:rsid w:val="004038F6"/>
    <w:rsid w:val="00404907"/>
    <w:rsid w:val="004053A4"/>
    <w:rsid w:val="00406E67"/>
    <w:rsid w:val="004078D1"/>
    <w:rsid w:val="00411279"/>
    <w:rsid w:val="00412543"/>
    <w:rsid w:val="00420DFE"/>
    <w:rsid w:val="00421F75"/>
    <w:rsid w:val="00422926"/>
    <w:rsid w:val="0042436F"/>
    <w:rsid w:val="0042529E"/>
    <w:rsid w:val="00430670"/>
    <w:rsid w:val="004349DC"/>
    <w:rsid w:val="00434E61"/>
    <w:rsid w:val="004451F6"/>
    <w:rsid w:val="00450DAE"/>
    <w:rsid w:val="004608CC"/>
    <w:rsid w:val="00462D66"/>
    <w:rsid w:val="00472C5F"/>
    <w:rsid w:val="004826A2"/>
    <w:rsid w:val="00493E4A"/>
    <w:rsid w:val="00494C45"/>
    <w:rsid w:val="004A6416"/>
    <w:rsid w:val="004B6F5A"/>
    <w:rsid w:val="004C23E6"/>
    <w:rsid w:val="004C5069"/>
    <w:rsid w:val="004D19D1"/>
    <w:rsid w:val="004E398D"/>
    <w:rsid w:val="004F4EA9"/>
    <w:rsid w:val="004F6D6C"/>
    <w:rsid w:val="00521242"/>
    <w:rsid w:val="00521502"/>
    <w:rsid w:val="00522980"/>
    <w:rsid w:val="0052374E"/>
    <w:rsid w:val="00525290"/>
    <w:rsid w:val="0053117D"/>
    <w:rsid w:val="005354EA"/>
    <w:rsid w:val="005446C9"/>
    <w:rsid w:val="00550900"/>
    <w:rsid w:val="00553406"/>
    <w:rsid w:val="00553731"/>
    <w:rsid w:val="00560034"/>
    <w:rsid w:val="00561329"/>
    <w:rsid w:val="00565F58"/>
    <w:rsid w:val="005735B5"/>
    <w:rsid w:val="00575AD3"/>
    <w:rsid w:val="00583BEB"/>
    <w:rsid w:val="00584D05"/>
    <w:rsid w:val="005A0C2B"/>
    <w:rsid w:val="005A6378"/>
    <w:rsid w:val="005A6CC8"/>
    <w:rsid w:val="005B1910"/>
    <w:rsid w:val="005B4A81"/>
    <w:rsid w:val="005B62DF"/>
    <w:rsid w:val="005C395F"/>
    <w:rsid w:val="005D47B9"/>
    <w:rsid w:val="005D5DBC"/>
    <w:rsid w:val="005D6D06"/>
    <w:rsid w:val="005D7AA4"/>
    <w:rsid w:val="005E1BF0"/>
    <w:rsid w:val="005E5F62"/>
    <w:rsid w:val="005E60DF"/>
    <w:rsid w:val="006116CF"/>
    <w:rsid w:val="00617FA8"/>
    <w:rsid w:val="00621EAB"/>
    <w:rsid w:val="00622716"/>
    <w:rsid w:val="00632434"/>
    <w:rsid w:val="00634228"/>
    <w:rsid w:val="0063730C"/>
    <w:rsid w:val="0064156F"/>
    <w:rsid w:val="006470D0"/>
    <w:rsid w:val="0065492D"/>
    <w:rsid w:val="006550EB"/>
    <w:rsid w:val="00660C25"/>
    <w:rsid w:val="00671A21"/>
    <w:rsid w:val="00677A5C"/>
    <w:rsid w:val="00682BAF"/>
    <w:rsid w:val="006838A0"/>
    <w:rsid w:val="00687271"/>
    <w:rsid w:val="00695A0F"/>
    <w:rsid w:val="006A57D7"/>
    <w:rsid w:val="006B1175"/>
    <w:rsid w:val="006B3C4F"/>
    <w:rsid w:val="006B42CE"/>
    <w:rsid w:val="006B48B2"/>
    <w:rsid w:val="006B7704"/>
    <w:rsid w:val="006C3F72"/>
    <w:rsid w:val="006C4B1A"/>
    <w:rsid w:val="006C5C0F"/>
    <w:rsid w:val="006D5AC1"/>
    <w:rsid w:val="006E0FF6"/>
    <w:rsid w:val="006E4133"/>
    <w:rsid w:val="006E4A01"/>
    <w:rsid w:val="006E4AEB"/>
    <w:rsid w:val="006E5C1F"/>
    <w:rsid w:val="006E7435"/>
    <w:rsid w:val="006F0EC3"/>
    <w:rsid w:val="006F0F1C"/>
    <w:rsid w:val="006F2876"/>
    <w:rsid w:val="007039A7"/>
    <w:rsid w:val="007132F3"/>
    <w:rsid w:val="007163F4"/>
    <w:rsid w:val="007245EF"/>
    <w:rsid w:val="00733BD8"/>
    <w:rsid w:val="00737399"/>
    <w:rsid w:val="00737987"/>
    <w:rsid w:val="0074394F"/>
    <w:rsid w:val="007440BB"/>
    <w:rsid w:val="007662E0"/>
    <w:rsid w:val="0077196A"/>
    <w:rsid w:val="00786177"/>
    <w:rsid w:val="007A32C8"/>
    <w:rsid w:val="007A5B63"/>
    <w:rsid w:val="007C273E"/>
    <w:rsid w:val="007C565F"/>
    <w:rsid w:val="007C5705"/>
    <w:rsid w:val="007D1E87"/>
    <w:rsid w:val="007D2509"/>
    <w:rsid w:val="007D3DD8"/>
    <w:rsid w:val="007F21DC"/>
    <w:rsid w:val="00804BB3"/>
    <w:rsid w:val="008054D6"/>
    <w:rsid w:val="0080588F"/>
    <w:rsid w:val="0080633F"/>
    <w:rsid w:val="00807C13"/>
    <w:rsid w:val="008134A5"/>
    <w:rsid w:val="0082256B"/>
    <w:rsid w:val="0082474F"/>
    <w:rsid w:val="008311EC"/>
    <w:rsid w:val="008315FB"/>
    <w:rsid w:val="008332CC"/>
    <w:rsid w:val="0083389D"/>
    <w:rsid w:val="008420E5"/>
    <w:rsid w:val="008432EC"/>
    <w:rsid w:val="008505FD"/>
    <w:rsid w:val="00860C93"/>
    <w:rsid w:val="008728CA"/>
    <w:rsid w:val="00891368"/>
    <w:rsid w:val="008937DE"/>
    <w:rsid w:val="008958FF"/>
    <w:rsid w:val="00896BC6"/>
    <w:rsid w:val="0089793F"/>
    <w:rsid w:val="008B66B6"/>
    <w:rsid w:val="008C0A48"/>
    <w:rsid w:val="008C3B62"/>
    <w:rsid w:val="008D7A49"/>
    <w:rsid w:val="008E1A8F"/>
    <w:rsid w:val="008E47C4"/>
    <w:rsid w:val="008F1E75"/>
    <w:rsid w:val="008F4CE2"/>
    <w:rsid w:val="008F5C66"/>
    <w:rsid w:val="008F6050"/>
    <w:rsid w:val="009018F7"/>
    <w:rsid w:val="00903A0B"/>
    <w:rsid w:val="0090697B"/>
    <w:rsid w:val="009131DA"/>
    <w:rsid w:val="009135DE"/>
    <w:rsid w:val="0091381C"/>
    <w:rsid w:val="00916BAB"/>
    <w:rsid w:val="00924530"/>
    <w:rsid w:val="00925C01"/>
    <w:rsid w:val="0093150D"/>
    <w:rsid w:val="00934CDE"/>
    <w:rsid w:val="0093782F"/>
    <w:rsid w:val="00940406"/>
    <w:rsid w:val="0094666D"/>
    <w:rsid w:val="00946BC3"/>
    <w:rsid w:val="00954592"/>
    <w:rsid w:val="009571A0"/>
    <w:rsid w:val="009611A3"/>
    <w:rsid w:val="009631F4"/>
    <w:rsid w:val="00964FAB"/>
    <w:rsid w:val="00965D64"/>
    <w:rsid w:val="00974F0E"/>
    <w:rsid w:val="00976132"/>
    <w:rsid w:val="00980C6F"/>
    <w:rsid w:val="00980E3A"/>
    <w:rsid w:val="0098283F"/>
    <w:rsid w:val="009867C1"/>
    <w:rsid w:val="00992806"/>
    <w:rsid w:val="009933B7"/>
    <w:rsid w:val="009958EB"/>
    <w:rsid w:val="009A53A2"/>
    <w:rsid w:val="009A5ED5"/>
    <w:rsid w:val="009B5AB8"/>
    <w:rsid w:val="009B5D39"/>
    <w:rsid w:val="009B65AE"/>
    <w:rsid w:val="009C1785"/>
    <w:rsid w:val="009C1827"/>
    <w:rsid w:val="009C500B"/>
    <w:rsid w:val="009C5B97"/>
    <w:rsid w:val="009D391B"/>
    <w:rsid w:val="009E1E22"/>
    <w:rsid w:val="009E45A9"/>
    <w:rsid w:val="009F2491"/>
    <w:rsid w:val="009F4EAB"/>
    <w:rsid w:val="009F5AEC"/>
    <w:rsid w:val="009F609F"/>
    <w:rsid w:val="00A04314"/>
    <w:rsid w:val="00A04E0B"/>
    <w:rsid w:val="00A14AAB"/>
    <w:rsid w:val="00A14F96"/>
    <w:rsid w:val="00A23D97"/>
    <w:rsid w:val="00A23DD7"/>
    <w:rsid w:val="00A26FBC"/>
    <w:rsid w:val="00A32B01"/>
    <w:rsid w:val="00A34813"/>
    <w:rsid w:val="00A34A41"/>
    <w:rsid w:val="00A37B0C"/>
    <w:rsid w:val="00A43776"/>
    <w:rsid w:val="00A4582A"/>
    <w:rsid w:val="00A54F42"/>
    <w:rsid w:val="00A55EDA"/>
    <w:rsid w:val="00A7596E"/>
    <w:rsid w:val="00AB069B"/>
    <w:rsid w:val="00AC3F8A"/>
    <w:rsid w:val="00AD3865"/>
    <w:rsid w:val="00AD4706"/>
    <w:rsid w:val="00AD7115"/>
    <w:rsid w:val="00AE2659"/>
    <w:rsid w:val="00AE2802"/>
    <w:rsid w:val="00AE31B6"/>
    <w:rsid w:val="00AE33F4"/>
    <w:rsid w:val="00AE38F7"/>
    <w:rsid w:val="00AF670E"/>
    <w:rsid w:val="00B01DD9"/>
    <w:rsid w:val="00B10598"/>
    <w:rsid w:val="00B10829"/>
    <w:rsid w:val="00B17A89"/>
    <w:rsid w:val="00B21CC6"/>
    <w:rsid w:val="00B22001"/>
    <w:rsid w:val="00B26308"/>
    <w:rsid w:val="00B401C2"/>
    <w:rsid w:val="00B403F3"/>
    <w:rsid w:val="00B41817"/>
    <w:rsid w:val="00B42409"/>
    <w:rsid w:val="00B45A80"/>
    <w:rsid w:val="00B45C66"/>
    <w:rsid w:val="00B500A8"/>
    <w:rsid w:val="00B52123"/>
    <w:rsid w:val="00B56B1F"/>
    <w:rsid w:val="00B613B8"/>
    <w:rsid w:val="00B76ADF"/>
    <w:rsid w:val="00B84F60"/>
    <w:rsid w:val="00B93EE7"/>
    <w:rsid w:val="00B97067"/>
    <w:rsid w:val="00BA35E2"/>
    <w:rsid w:val="00BB0FE3"/>
    <w:rsid w:val="00BB5877"/>
    <w:rsid w:val="00BC5AB1"/>
    <w:rsid w:val="00BD303B"/>
    <w:rsid w:val="00BE1CD8"/>
    <w:rsid w:val="00BE3782"/>
    <w:rsid w:val="00BF2408"/>
    <w:rsid w:val="00BF2A32"/>
    <w:rsid w:val="00C07A62"/>
    <w:rsid w:val="00C12DB9"/>
    <w:rsid w:val="00C20413"/>
    <w:rsid w:val="00C26611"/>
    <w:rsid w:val="00C35E63"/>
    <w:rsid w:val="00C37480"/>
    <w:rsid w:val="00C42D65"/>
    <w:rsid w:val="00C43E0C"/>
    <w:rsid w:val="00C45828"/>
    <w:rsid w:val="00C45896"/>
    <w:rsid w:val="00C47DF5"/>
    <w:rsid w:val="00C50338"/>
    <w:rsid w:val="00C55D64"/>
    <w:rsid w:val="00C609E6"/>
    <w:rsid w:val="00C62F4E"/>
    <w:rsid w:val="00C63473"/>
    <w:rsid w:val="00C651B2"/>
    <w:rsid w:val="00C661A0"/>
    <w:rsid w:val="00C70A54"/>
    <w:rsid w:val="00C71144"/>
    <w:rsid w:val="00C71699"/>
    <w:rsid w:val="00C8242D"/>
    <w:rsid w:val="00C86A4C"/>
    <w:rsid w:val="00C90377"/>
    <w:rsid w:val="00C916C5"/>
    <w:rsid w:val="00C922C9"/>
    <w:rsid w:val="00C92A0A"/>
    <w:rsid w:val="00C943AF"/>
    <w:rsid w:val="00C943CA"/>
    <w:rsid w:val="00CA2613"/>
    <w:rsid w:val="00CA4398"/>
    <w:rsid w:val="00CA489A"/>
    <w:rsid w:val="00CA6D15"/>
    <w:rsid w:val="00CB1754"/>
    <w:rsid w:val="00CB1E73"/>
    <w:rsid w:val="00CB47DD"/>
    <w:rsid w:val="00CB647B"/>
    <w:rsid w:val="00CC103E"/>
    <w:rsid w:val="00CC1BCA"/>
    <w:rsid w:val="00CC260F"/>
    <w:rsid w:val="00CC75EF"/>
    <w:rsid w:val="00CD111A"/>
    <w:rsid w:val="00CD515E"/>
    <w:rsid w:val="00CE25C2"/>
    <w:rsid w:val="00CE4A93"/>
    <w:rsid w:val="00CE7FCC"/>
    <w:rsid w:val="00D0275F"/>
    <w:rsid w:val="00D06898"/>
    <w:rsid w:val="00D124E1"/>
    <w:rsid w:val="00D15714"/>
    <w:rsid w:val="00D15C38"/>
    <w:rsid w:val="00D1676F"/>
    <w:rsid w:val="00D208CD"/>
    <w:rsid w:val="00D26D90"/>
    <w:rsid w:val="00D332DE"/>
    <w:rsid w:val="00D36892"/>
    <w:rsid w:val="00D4565D"/>
    <w:rsid w:val="00D56C20"/>
    <w:rsid w:val="00D61105"/>
    <w:rsid w:val="00D619EF"/>
    <w:rsid w:val="00D65587"/>
    <w:rsid w:val="00D75910"/>
    <w:rsid w:val="00D81093"/>
    <w:rsid w:val="00D8267E"/>
    <w:rsid w:val="00D83B53"/>
    <w:rsid w:val="00D8502B"/>
    <w:rsid w:val="00D85F67"/>
    <w:rsid w:val="00D95361"/>
    <w:rsid w:val="00D95924"/>
    <w:rsid w:val="00D96E96"/>
    <w:rsid w:val="00DA0AFB"/>
    <w:rsid w:val="00DA266D"/>
    <w:rsid w:val="00DA3137"/>
    <w:rsid w:val="00DB22BA"/>
    <w:rsid w:val="00DB4653"/>
    <w:rsid w:val="00DB4A65"/>
    <w:rsid w:val="00DB4D13"/>
    <w:rsid w:val="00DC3537"/>
    <w:rsid w:val="00DC65E1"/>
    <w:rsid w:val="00DD1884"/>
    <w:rsid w:val="00DD314C"/>
    <w:rsid w:val="00DD45B7"/>
    <w:rsid w:val="00DE0E57"/>
    <w:rsid w:val="00DE1718"/>
    <w:rsid w:val="00DE7D2E"/>
    <w:rsid w:val="00DE7D3C"/>
    <w:rsid w:val="00DF3F80"/>
    <w:rsid w:val="00E04443"/>
    <w:rsid w:val="00E0449A"/>
    <w:rsid w:val="00E15718"/>
    <w:rsid w:val="00E16ABB"/>
    <w:rsid w:val="00E16BA7"/>
    <w:rsid w:val="00E23C3F"/>
    <w:rsid w:val="00E26D3B"/>
    <w:rsid w:val="00E33B87"/>
    <w:rsid w:val="00E341C7"/>
    <w:rsid w:val="00E52F21"/>
    <w:rsid w:val="00E53C92"/>
    <w:rsid w:val="00E61F0B"/>
    <w:rsid w:val="00E6736E"/>
    <w:rsid w:val="00E6739E"/>
    <w:rsid w:val="00E679E5"/>
    <w:rsid w:val="00E71EAE"/>
    <w:rsid w:val="00E721BA"/>
    <w:rsid w:val="00E72BC4"/>
    <w:rsid w:val="00E74D11"/>
    <w:rsid w:val="00E77618"/>
    <w:rsid w:val="00E865F4"/>
    <w:rsid w:val="00E9001A"/>
    <w:rsid w:val="00EA736D"/>
    <w:rsid w:val="00EB6EFB"/>
    <w:rsid w:val="00EC104C"/>
    <w:rsid w:val="00EC1BDC"/>
    <w:rsid w:val="00EC4519"/>
    <w:rsid w:val="00ED1B6E"/>
    <w:rsid w:val="00ED27EB"/>
    <w:rsid w:val="00ED31DB"/>
    <w:rsid w:val="00ED397F"/>
    <w:rsid w:val="00ED589F"/>
    <w:rsid w:val="00ED647F"/>
    <w:rsid w:val="00EE02C8"/>
    <w:rsid w:val="00EE7D59"/>
    <w:rsid w:val="00EF675D"/>
    <w:rsid w:val="00EF7665"/>
    <w:rsid w:val="00F005FD"/>
    <w:rsid w:val="00F0114B"/>
    <w:rsid w:val="00F13AFC"/>
    <w:rsid w:val="00F17DC9"/>
    <w:rsid w:val="00F230F4"/>
    <w:rsid w:val="00F23267"/>
    <w:rsid w:val="00F234A4"/>
    <w:rsid w:val="00F261BC"/>
    <w:rsid w:val="00F323CD"/>
    <w:rsid w:val="00F464DB"/>
    <w:rsid w:val="00F52163"/>
    <w:rsid w:val="00F604B8"/>
    <w:rsid w:val="00F608B4"/>
    <w:rsid w:val="00F61D69"/>
    <w:rsid w:val="00F6249F"/>
    <w:rsid w:val="00F62BBA"/>
    <w:rsid w:val="00F67AB1"/>
    <w:rsid w:val="00F70F8E"/>
    <w:rsid w:val="00F81897"/>
    <w:rsid w:val="00F86064"/>
    <w:rsid w:val="00F92975"/>
    <w:rsid w:val="00FA0E1B"/>
    <w:rsid w:val="00FA3B60"/>
    <w:rsid w:val="00FA6C62"/>
    <w:rsid w:val="00FB0824"/>
    <w:rsid w:val="00FB15C4"/>
    <w:rsid w:val="00FB4924"/>
    <w:rsid w:val="00FC1A8E"/>
    <w:rsid w:val="00FC34C2"/>
    <w:rsid w:val="00FD024B"/>
    <w:rsid w:val="00FD171F"/>
    <w:rsid w:val="00FD45D4"/>
    <w:rsid w:val="00FD46C8"/>
    <w:rsid w:val="00FE0696"/>
    <w:rsid w:val="00FE720F"/>
    <w:rsid w:val="00FE7B76"/>
    <w:rsid w:val="00FF0380"/>
    <w:rsid w:val="00FF0CD9"/>
    <w:rsid w:val="00FF45C1"/>
    <w:rsid w:val="00FF49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EDA"/>
    <w:pPr>
      <w:ind w:left="720"/>
      <w:contextualSpacing/>
    </w:pPr>
  </w:style>
  <w:style w:type="paragraph" w:styleId="En-tte">
    <w:name w:val="header"/>
    <w:basedOn w:val="Normal"/>
    <w:link w:val="En-tteCar"/>
    <w:uiPriority w:val="99"/>
    <w:unhideWhenUsed/>
    <w:rsid w:val="00A7596E"/>
    <w:pPr>
      <w:tabs>
        <w:tab w:val="center" w:pos="4536"/>
        <w:tab w:val="right" w:pos="9072"/>
      </w:tabs>
      <w:spacing w:after="0" w:line="240" w:lineRule="auto"/>
    </w:pPr>
  </w:style>
  <w:style w:type="character" w:customStyle="1" w:styleId="En-tteCar">
    <w:name w:val="En-tête Car"/>
    <w:basedOn w:val="Policepardfaut"/>
    <w:link w:val="En-tte"/>
    <w:uiPriority w:val="99"/>
    <w:rsid w:val="00A7596E"/>
  </w:style>
  <w:style w:type="paragraph" w:styleId="Pieddepage">
    <w:name w:val="footer"/>
    <w:basedOn w:val="Normal"/>
    <w:link w:val="PieddepageCar"/>
    <w:uiPriority w:val="99"/>
    <w:unhideWhenUsed/>
    <w:rsid w:val="00A759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596E"/>
  </w:style>
  <w:style w:type="paragraph" w:styleId="Textedebulles">
    <w:name w:val="Balloon Text"/>
    <w:basedOn w:val="Normal"/>
    <w:link w:val="TextedebullesCar"/>
    <w:uiPriority w:val="99"/>
    <w:semiHidden/>
    <w:unhideWhenUsed/>
    <w:rsid w:val="00A759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96E"/>
    <w:rPr>
      <w:rFonts w:ascii="Tahoma" w:hAnsi="Tahoma" w:cs="Tahoma"/>
      <w:sz w:val="16"/>
      <w:szCs w:val="16"/>
    </w:rPr>
  </w:style>
  <w:style w:type="paragraph" w:customStyle="1" w:styleId="Default">
    <w:name w:val="Default"/>
    <w:rsid w:val="00404907"/>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C90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924530"/>
    <w:rPr>
      <w:color w:val="808080"/>
    </w:rPr>
  </w:style>
</w:styles>
</file>

<file path=word/webSettings.xml><?xml version="1.0" encoding="utf-8"?>
<w:webSettings xmlns:r="http://schemas.openxmlformats.org/officeDocument/2006/relationships" xmlns:w="http://schemas.openxmlformats.org/wordprocessingml/2006/main">
  <w:divs>
    <w:div w:id="34241157">
      <w:bodyDiv w:val="1"/>
      <w:marLeft w:val="0"/>
      <w:marRight w:val="0"/>
      <w:marTop w:val="0"/>
      <w:marBottom w:val="0"/>
      <w:divBdr>
        <w:top w:val="none" w:sz="0" w:space="0" w:color="auto"/>
        <w:left w:val="none" w:sz="0" w:space="0" w:color="auto"/>
        <w:bottom w:val="none" w:sz="0" w:space="0" w:color="auto"/>
        <w:right w:val="none" w:sz="0" w:space="0" w:color="auto"/>
      </w:divBdr>
    </w:div>
    <w:div w:id="383866812">
      <w:bodyDiv w:val="1"/>
      <w:marLeft w:val="0"/>
      <w:marRight w:val="0"/>
      <w:marTop w:val="0"/>
      <w:marBottom w:val="0"/>
      <w:divBdr>
        <w:top w:val="none" w:sz="0" w:space="0" w:color="auto"/>
        <w:left w:val="none" w:sz="0" w:space="0" w:color="auto"/>
        <w:bottom w:val="none" w:sz="0" w:space="0" w:color="auto"/>
        <w:right w:val="none" w:sz="0" w:space="0" w:color="auto"/>
      </w:divBdr>
    </w:div>
    <w:div w:id="985745822">
      <w:bodyDiv w:val="1"/>
      <w:marLeft w:val="0"/>
      <w:marRight w:val="0"/>
      <w:marTop w:val="0"/>
      <w:marBottom w:val="0"/>
      <w:divBdr>
        <w:top w:val="none" w:sz="0" w:space="0" w:color="auto"/>
        <w:left w:val="none" w:sz="0" w:space="0" w:color="auto"/>
        <w:bottom w:val="none" w:sz="0" w:space="0" w:color="auto"/>
        <w:right w:val="none" w:sz="0" w:space="0" w:color="auto"/>
      </w:divBdr>
    </w:div>
    <w:div w:id="1026249666">
      <w:bodyDiv w:val="1"/>
      <w:marLeft w:val="0"/>
      <w:marRight w:val="0"/>
      <w:marTop w:val="0"/>
      <w:marBottom w:val="0"/>
      <w:divBdr>
        <w:top w:val="none" w:sz="0" w:space="0" w:color="auto"/>
        <w:left w:val="none" w:sz="0" w:space="0" w:color="auto"/>
        <w:bottom w:val="none" w:sz="0" w:space="0" w:color="auto"/>
        <w:right w:val="none" w:sz="0" w:space="0" w:color="auto"/>
      </w:divBdr>
    </w:div>
    <w:div w:id="1662342808">
      <w:bodyDiv w:val="1"/>
      <w:marLeft w:val="0"/>
      <w:marRight w:val="0"/>
      <w:marTop w:val="0"/>
      <w:marBottom w:val="0"/>
      <w:divBdr>
        <w:top w:val="none" w:sz="0" w:space="0" w:color="auto"/>
        <w:left w:val="none" w:sz="0" w:space="0" w:color="auto"/>
        <w:bottom w:val="none" w:sz="0" w:space="0" w:color="auto"/>
        <w:right w:val="none" w:sz="0" w:space="0" w:color="auto"/>
      </w:divBdr>
    </w:div>
    <w:div w:id="1799763734">
      <w:bodyDiv w:val="1"/>
      <w:marLeft w:val="0"/>
      <w:marRight w:val="0"/>
      <w:marTop w:val="0"/>
      <w:marBottom w:val="0"/>
      <w:divBdr>
        <w:top w:val="none" w:sz="0" w:space="0" w:color="auto"/>
        <w:left w:val="none" w:sz="0" w:space="0" w:color="auto"/>
        <w:bottom w:val="none" w:sz="0" w:space="0" w:color="auto"/>
        <w:right w:val="none" w:sz="0" w:space="0" w:color="auto"/>
      </w:divBdr>
    </w:div>
    <w:div w:id="1925216506">
      <w:bodyDiv w:val="1"/>
      <w:marLeft w:val="0"/>
      <w:marRight w:val="0"/>
      <w:marTop w:val="0"/>
      <w:marBottom w:val="0"/>
      <w:divBdr>
        <w:top w:val="none" w:sz="0" w:space="0" w:color="auto"/>
        <w:left w:val="none" w:sz="0" w:space="0" w:color="auto"/>
        <w:bottom w:val="none" w:sz="0" w:space="0" w:color="auto"/>
        <w:right w:val="none" w:sz="0" w:space="0" w:color="auto"/>
      </w:divBdr>
    </w:div>
    <w:div w:id="1928422512">
      <w:bodyDiv w:val="1"/>
      <w:marLeft w:val="0"/>
      <w:marRight w:val="0"/>
      <w:marTop w:val="0"/>
      <w:marBottom w:val="0"/>
      <w:divBdr>
        <w:top w:val="none" w:sz="0" w:space="0" w:color="auto"/>
        <w:left w:val="none" w:sz="0" w:space="0" w:color="auto"/>
        <w:bottom w:val="none" w:sz="0" w:space="0" w:color="auto"/>
        <w:right w:val="none" w:sz="0" w:space="0" w:color="auto"/>
      </w:divBdr>
    </w:div>
    <w:div w:id="201526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0B8DF623FD423AA45635E50F72941E"/>
        <w:category>
          <w:name w:val="Général"/>
          <w:gallery w:val="placeholder"/>
        </w:category>
        <w:types>
          <w:type w:val="bbPlcHdr"/>
        </w:types>
        <w:behaviors>
          <w:behavior w:val="content"/>
        </w:behaviors>
        <w:guid w:val="{F9E6E654-8178-4ABD-91BE-011E239E2F9A}"/>
      </w:docPartPr>
      <w:docPartBody>
        <w:p w:rsidR="0045681F" w:rsidRDefault="006450C3" w:rsidP="006450C3">
          <w:pPr>
            <w:pStyle w:val="E80B8DF623FD423AA45635E50F72941E"/>
          </w:pPr>
          <w:r>
            <w:rPr>
              <w:rFonts w:asciiTheme="majorHAnsi" w:eastAsiaTheme="majorEastAsia" w:hAnsiTheme="majorHAnsi" w:cstheme="majorBidi"/>
              <w:sz w:val="36"/>
              <w:szCs w:val="36"/>
            </w:rPr>
            <w:t>[Tapez le titre du document]</w:t>
          </w:r>
        </w:p>
      </w:docPartBody>
    </w:docPart>
    <w:docPart>
      <w:docPartPr>
        <w:name w:val="244939A32AB04117BAC1E9F4C582179D"/>
        <w:category>
          <w:name w:val="Général"/>
          <w:gallery w:val="placeholder"/>
        </w:category>
        <w:types>
          <w:type w:val="bbPlcHdr"/>
        </w:types>
        <w:behaviors>
          <w:behavior w:val="content"/>
        </w:behaviors>
        <w:guid w:val="{087858B5-5E13-4CD1-A753-2C32A7F1B3F4}"/>
      </w:docPartPr>
      <w:docPartBody>
        <w:p w:rsidR="0045681F" w:rsidRDefault="006450C3" w:rsidP="006450C3">
          <w:pPr>
            <w:pStyle w:val="244939A32AB04117BAC1E9F4C582179D"/>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450C3"/>
    <w:rsid w:val="00020172"/>
    <w:rsid w:val="0045681F"/>
    <w:rsid w:val="006450C3"/>
    <w:rsid w:val="009353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8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F8266A0D884ABF8400DC6E28A256AB">
    <w:name w:val="DAF8266A0D884ABF8400DC6E28A256AB"/>
    <w:rsid w:val="006450C3"/>
  </w:style>
  <w:style w:type="paragraph" w:customStyle="1" w:styleId="A6AF0572DABD40E7A550520A4311C4AB">
    <w:name w:val="A6AF0572DABD40E7A550520A4311C4AB"/>
    <w:rsid w:val="006450C3"/>
  </w:style>
  <w:style w:type="paragraph" w:customStyle="1" w:styleId="E80B8DF623FD423AA45635E50F72941E">
    <w:name w:val="E80B8DF623FD423AA45635E50F72941E"/>
    <w:rsid w:val="006450C3"/>
  </w:style>
  <w:style w:type="paragraph" w:customStyle="1" w:styleId="244939A32AB04117BAC1E9F4C582179D">
    <w:name w:val="244939A32AB04117BAC1E9F4C582179D"/>
    <w:rsid w:val="006450C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C8DEE9-8A99-4E84-A2E1-896737D0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2986</Words>
  <Characters>16423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des cas de fiscalité approfondie: CES révision comptable, ISG Tunis</dc:title>
  <dc:subject/>
  <dc:creator>mounir</dc:creator>
  <cp:keywords/>
  <dc:description/>
  <cp:lastModifiedBy>mounir</cp:lastModifiedBy>
  <cp:revision>9</cp:revision>
  <cp:lastPrinted>2013-02-25T16:01:00Z</cp:lastPrinted>
  <dcterms:created xsi:type="dcterms:W3CDTF">2013-03-12T11:11:00Z</dcterms:created>
  <dcterms:modified xsi:type="dcterms:W3CDTF">2014-03-03T18:05:00Z</dcterms:modified>
</cp:coreProperties>
</file>