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855" w:rsidRDefault="005E3855" w:rsidP="006F2876">
      <w:pPr>
        <w:jc w:val="center"/>
        <w:rPr>
          <w:b/>
          <w:bCs/>
          <w:sz w:val="44"/>
          <w:szCs w:val="44"/>
        </w:rPr>
      </w:pPr>
      <w:r w:rsidRPr="005E3855">
        <w:rPr>
          <w:b/>
          <w:bCs/>
          <w:noProof/>
          <w:sz w:val="44"/>
          <w:szCs w:val="44"/>
          <w:lang w:eastAsia="fr-FR"/>
        </w:rPr>
        <w:drawing>
          <wp:anchor distT="0" distB="0" distL="114300" distR="114300" simplePos="0" relativeHeight="251659264" behindDoc="0" locked="0" layoutInCell="1" allowOverlap="1">
            <wp:simplePos x="0" y="0"/>
            <wp:positionH relativeFrom="column">
              <wp:posOffset>1933707</wp:posOffset>
            </wp:positionH>
            <wp:positionV relativeFrom="paragraph">
              <wp:align>top</wp:align>
            </wp:positionV>
            <wp:extent cx="1522202" cy="1520041"/>
            <wp:effectExtent l="19050" t="0" r="3068"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20932" cy="1520041"/>
                    </a:xfrm>
                    <a:prstGeom prst="rect">
                      <a:avLst/>
                    </a:prstGeom>
                    <a:noFill/>
                    <a:ln w="9525">
                      <a:noFill/>
                      <a:miter lim="800000"/>
                      <a:headEnd/>
                      <a:tailEnd/>
                    </a:ln>
                  </pic:spPr>
                </pic:pic>
              </a:graphicData>
            </a:graphic>
          </wp:anchor>
        </w:drawing>
      </w:r>
    </w:p>
    <w:p w:rsidR="005E3855" w:rsidRDefault="005E3855" w:rsidP="006F2876">
      <w:pPr>
        <w:jc w:val="center"/>
        <w:rPr>
          <w:b/>
          <w:bCs/>
          <w:sz w:val="44"/>
          <w:szCs w:val="44"/>
        </w:rPr>
      </w:pPr>
    </w:p>
    <w:p w:rsidR="005E3855" w:rsidRDefault="005E3855" w:rsidP="006F2876">
      <w:pPr>
        <w:jc w:val="center"/>
        <w:rPr>
          <w:b/>
          <w:bCs/>
          <w:sz w:val="44"/>
          <w:szCs w:val="44"/>
        </w:rPr>
      </w:pPr>
    </w:p>
    <w:p w:rsidR="00BF2A32" w:rsidRPr="009A53A2" w:rsidRDefault="00FC1A8E" w:rsidP="006F2876">
      <w:pPr>
        <w:jc w:val="center"/>
        <w:rPr>
          <w:b/>
          <w:bCs/>
          <w:i/>
          <w:iCs/>
          <w:sz w:val="44"/>
          <w:szCs w:val="44"/>
        </w:rPr>
      </w:pPr>
      <w:r>
        <w:rPr>
          <w:b/>
          <w:bCs/>
          <w:sz w:val="44"/>
          <w:szCs w:val="44"/>
        </w:rPr>
        <w:t xml:space="preserve">PROPOSITION DE CORRECTION DU </w:t>
      </w:r>
      <w:r w:rsidR="006B3C4F">
        <w:rPr>
          <w:b/>
          <w:bCs/>
          <w:sz w:val="44"/>
          <w:szCs w:val="44"/>
        </w:rPr>
        <w:t xml:space="preserve">CAS </w:t>
      </w:r>
      <w:r w:rsidR="000B3264">
        <w:rPr>
          <w:b/>
          <w:bCs/>
          <w:sz w:val="44"/>
          <w:szCs w:val="44"/>
        </w:rPr>
        <w:t>N° 1</w:t>
      </w:r>
      <w:r w:rsidR="0093150D">
        <w:rPr>
          <w:b/>
          <w:bCs/>
          <w:sz w:val="44"/>
          <w:szCs w:val="44"/>
        </w:rPr>
        <w:t> :</w:t>
      </w:r>
      <w:r w:rsidR="006F2876">
        <w:rPr>
          <w:b/>
          <w:bCs/>
          <w:sz w:val="44"/>
          <w:szCs w:val="44"/>
        </w:rPr>
        <w:t xml:space="preserve"> LA SOCIÉTÉ </w:t>
      </w:r>
      <w:r w:rsidR="006F2876" w:rsidRPr="009A53A2">
        <w:rPr>
          <w:b/>
          <w:bCs/>
          <w:i/>
          <w:iCs/>
          <w:sz w:val="44"/>
          <w:szCs w:val="44"/>
        </w:rPr>
        <w:t>« KLM »</w:t>
      </w:r>
    </w:p>
    <w:p w:rsidR="00C90377" w:rsidRPr="00055B54" w:rsidRDefault="00C90377" w:rsidP="002146FB">
      <w:pPr>
        <w:pStyle w:val="Paragraphedeliste"/>
        <w:numPr>
          <w:ilvl w:val="0"/>
          <w:numId w:val="39"/>
        </w:numPr>
        <w:tabs>
          <w:tab w:val="left" w:pos="284"/>
        </w:tabs>
        <w:spacing w:before="120" w:after="120" w:line="360" w:lineRule="auto"/>
        <w:ind w:left="0" w:firstLine="0"/>
        <w:jc w:val="both"/>
        <w:rPr>
          <w:rFonts w:asciiTheme="majorHAnsi" w:hAnsiTheme="majorHAnsi"/>
          <w:b/>
          <w:bCs/>
          <w:sz w:val="24"/>
          <w:szCs w:val="24"/>
        </w:rPr>
      </w:pPr>
      <w:r w:rsidRPr="00C90377">
        <w:rPr>
          <w:rFonts w:asciiTheme="majorHAnsi" w:hAnsiTheme="majorHAnsi"/>
          <w:b/>
          <w:bCs/>
          <w:sz w:val="24"/>
          <w:szCs w:val="24"/>
        </w:rPr>
        <w:t>1-</w:t>
      </w:r>
      <w:r w:rsidRPr="00C90377">
        <w:rPr>
          <w:rFonts w:asciiTheme="majorHAnsi" w:hAnsiTheme="majorHAnsi"/>
          <w:sz w:val="24"/>
          <w:szCs w:val="24"/>
        </w:rPr>
        <w:t xml:space="preserve"> </w:t>
      </w:r>
      <w:r w:rsidRPr="00055B54">
        <w:rPr>
          <w:rFonts w:asciiTheme="majorHAnsi" w:hAnsiTheme="majorHAnsi"/>
          <w:b/>
          <w:bCs/>
          <w:sz w:val="24"/>
          <w:szCs w:val="24"/>
        </w:rPr>
        <w:t xml:space="preserve">Détermination du résultat fiscal de la société </w:t>
      </w:r>
      <w:r w:rsidRPr="00055B54">
        <w:rPr>
          <w:rFonts w:asciiTheme="majorHAnsi" w:hAnsiTheme="majorHAnsi"/>
          <w:b/>
          <w:bCs/>
          <w:i/>
          <w:iCs/>
          <w:sz w:val="24"/>
          <w:szCs w:val="24"/>
        </w:rPr>
        <w:t>« KLM »</w:t>
      </w:r>
      <w:r w:rsidRPr="00055B54">
        <w:rPr>
          <w:rFonts w:asciiTheme="majorHAnsi" w:hAnsiTheme="majorHAnsi"/>
          <w:b/>
          <w:bCs/>
          <w:sz w:val="24"/>
          <w:szCs w:val="24"/>
        </w:rPr>
        <w:t xml:space="preserve"> </w:t>
      </w:r>
    </w:p>
    <w:tbl>
      <w:tblPr>
        <w:tblStyle w:val="Grilledutableau"/>
        <w:tblW w:w="9747" w:type="dxa"/>
        <w:tblLook w:val="04A0"/>
      </w:tblPr>
      <w:tblGrid>
        <w:gridCol w:w="5495"/>
        <w:gridCol w:w="2126"/>
        <w:gridCol w:w="2126"/>
      </w:tblGrid>
      <w:tr w:rsidR="00C90377" w:rsidRPr="00197E36" w:rsidTr="00CE25C2">
        <w:trPr>
          <w:trHeight w:val="506"/>
        </w:trPr>
        <w:tc>
          <w:tcPr>
            <w:tcW w:w="5495" w:type="dxa"/>
          </w:tcPr>
          <w:p w:rsidR="00C90377" w:rsidRDefault="00C90377" w:rsidP="00CE25C2"/>
        </w:tc>
        <w:tc>
          <w:tcPr>
            <w:tcW w:w="2126" w:type="dxa"/>
            <w:vAlign w:val="center"/>
          </w:tcPr>
          <w:p w:rsidR="00C90377" w:rsidRPr="00197E36" w:rsidRDefault="00C90377" w:rsidP="00CE25C2">
            <w:pPr>
              <w:jc w:val="center"/>
              <w:rPr>
                <w:b/>
                <w:bCs/>
              </w:rPr>
            </w:pPr>
            <w:r w:rsidRPr="00197E36">
              <w:rPr>
                <w:b/>
                <w:bCs/>
              </w:rPr>
              <w:t>réintégrations</w:t>
            </w:r>
          </w:p>
        </w:tc>
        <w:tc>
          <w:tcPr>
            <w:tcW w:w="2126" w:type="dxa"/>
            <w:vAlign w:val="center"/>
          </w:tcPr>
          <w:p w:rsidR="00C90377" w:rsidRPr="00197E36" w:rsidRDefault="00C90377" w:rsidP="00CE25C2">
            <w:pPr>
              <w:jc w:val="center"/>
              <w:rPr>
                <w:b/>
                <w:bCs/>
              </w:rPr>
            </w:pPr>
            <w:r>
              <w:rPr>
                <w:b/>
                <w:bCs/>
              </w:rPr>
              <w:t>déductions</w:t>
            </w:r>
          </w:p>
        </w:tc>
      </w:tr>
      <w:tr w:rsidR="00C90377" w:rsidTr="00CE25C2">
        <w:trPr>
          <w:trHeight w:val="570"/>
        </w:trPr>
        <w:tc>
          <w:tcPr>
            <w:tcW w:w="5495" w:type="dxa"/>
            <w:vAlign w:val="center"/>
          </w:tcPr>
          <w:p w:rsidR="00C90377" w:rsidRPr="006B469F" w:rsidRDefault="00C90377" w:rsidP="00CE25C2">
            <w:pPr>
              <w:rPr>
                <w:b/>
                <w:bCs/>
                <w:sz w:val="24"/>
                <w:szCs w:val="24"/>
              </w:rPr>
            </w:pPr>
            <w:r w:rsidRPr="006B469F">
              <w:rPr>
                <w:b/>
                <w:bCs/>
                <w:sz w:val="24"/>
                <w:szCs w:val="24"/>
              </w:rPr>
              <w:t xml:space="preserve">bénéfice </w:t>
            </w:r>
            <w:r w:rsidR="00244C44">
              <w:rPr>
                <w:b/>
                <w:bCs/>
                <w:sz w:val="24"/>
                <w:szCs w:val="24"/>
              </w:rPr>
              <w:t xml:space="preserve">fiscal </w:t>
            </w:r>
            <w:r w:rsidRPr="006B469F">
              <w:rPr>
                <w:b/>
                <w:bCs/>
                <w:sz w:val="24"/>
                <w:szCs w:val="24"/>
              </w:rPr>
              <w:t>net déclaré</w:t>
            </w:r>
          </w:p>
        </w:tc>
        <w:tc>
          <w:tcPr>
            <w:tcW w:w="2126" w:type="dxa"/>
            <w:vAlign w:val="center"/>
          </w:tcPr>
          <w:p w:rsidR="00C90377" w:rsidRPr="00830A28" w:rsidRDefault="00C90377" w:rsidP="00CE25C2">
            <w:pPr>
              <w:jc w:val="right"/>
              <w:rPr>
                <w:rFonts w:asciiTheme="majorHAnsi" w:hAnsiTheme="majorHAnsi"/>
              </w:rPr>
            </w:pPr>
            <w:r>
              <w:rPr>
                <w:rFonts w:asciiTheme="majorHAnsi" w:hAnsiTheme="majorHAnsi"/>
              </w:rPr>
              <w:t>72</w:t>
            </w:r>
            <w:r w:rsidRPr="00830A28">
              <w:rPr>
                <w:rFonts w:asciiTheme="majorHAnsi" w:hAnsiTheme="majorHAnsi"/>
              </w:rPr>
              <w:t>0.000,000</w:t>
            </w:r>
          </w:p>
        </w:tc>
        <w:tc>
          <w:tcPr>
            <w:tcW w:w="2126" w:type="dxa"/>
          </w:tcPr>
          <w:p w:rsidR="00C90377" w:rsidRDefault="00C90377" w:rsidP="00CE25C2"/>
        </w:tc>
      </w:tr>
      <w:tr w:rsidR="00C90377" w:rsidTr="00CE25C2">
        <w:tc>
          <w:tcPr>
            <w:tcW w:w="5495" w:type="dxa"/>
            <w:vAlign w:val="center"/>
          </w:tcPr>
          <w:p w:rsidR="00C90377" w:rsidRDefault="00C90377" w:rsidP="00C90377">
            <w:pPr>
              <w:pStyle w:val="Paragraphedeliste"/>
              <w:ind w:left="0"/>
              <w:rPr>
                <w:rFonts w:asciiTheme="majorHAnsi" w:hAnsiTheme="majorHAnsi"/>
                <w:sz w:val="24"/>
                <w:szCs w:val="24"/>
              </w:rPr>
            </w:pPr>
            <w:r w:rsidRPr="006F2876">
              <w:rPr>
                <w:rFonts w:asciiTheme="majorHAnsi" w:hAnsiTheme="majorHAnsi"/>
                <w:sz w:val="24"/>
                <w:szCs w:val="24"/>
              </w:rPr>
              <w:t xml:space="preserve">moins value de </w:t>
            </w:r>
            <w:r>
              <w:rPr>
                <w:rFonts w:asciiTheme="majorHAnsi" w:hAnsiTheme="majorHAnsi"/>
                <w:sz w:val="24"/>
                <w:szCs w:val="24"/>
              </w:rPr>
              <w:t>9</w:t>
            </w:r>
            <w:r w:rsidRPr="006F2876">
              <w:rPr>
                <w:rFonts w:asciiTheme="majorHAnsi" w:hAnsiTheme="majorHAnsi"/>
                <w:sz w:val="24"/>
                <w:szCs w:val="24"/>
              </w:rPr>
              <w:t xml:space="preserve">0.000 TND </w:t>
            </w:r>
            <w:r>
              <w:rPr>
                <w:rFonts w:asciiTheme="majorHAnsi" w:hAnsiTheme="majorHAnsi"/>
                <w:sz w:val="24"/>
                <w:szCs w:val="24"/>
              </w:rPr>
              <w:t>suite à</w:t>
            </w:r>
            <w:r w:rsidRPr="006F2876">
              <w:rPr>
                <w:rFonts w:asciiTheme="majorHAnsi" w:hAnsiTheme="majorHAnsi"/>
                <w:sz w:val="24"/>
                <w:szCs w:val="24"/>
              </w:rPr>
              <w:t xml:space="preserve"> la cession d’un terrain </w:t>
            </w:r>
            <w:r>
              <w:rPr>
                <w:rFonts w:asciiTheme="majorHAnsi" w:hAnsiTheme="majorHAnsi"/>
                <w:sz w:val="24"/>
                <w:szCs w:val="24"/>
              </w:rPr>
              <w:t>inscrit dans le compte immobilisation corporelle.</w:t>
            </w:r>
          </w:p>
          <w:p w:rsidR="00C90377" w:rsidRDefault="00C90377" w:rsidP="00002B64">
            <w:pPr>
              <w:pStyle w:val="Paragraphedeliste"/>
              <w:ind w:left="0"/>
              <w:rPr>
                <w:rFonts w:asciiTheme="majorHAnsi" w:hAnsiTheme="majorHAnsi"/>
                <w:sz w:val="24"/>
                <w:szCs w:val="24"/>
              </w:rPr>
            </w:pPr>
            <w:r>
              <w:rPr>
                <w:rFonts w:asciiTheme="majorHAnsi" w:hAnsiTheme="majorHAnsi"/>
                <w:sz w:val="24"/>
                <w:szCs w:val="24"/>
              </w:rPr>
              <w:t>Plus value de cession du terrain = juste valeur – cout historique = 400.000 – 2</w:t>
            </w:r>
            <w:r w:rsidR="00002B64">
              <w:rPr>
                <w:rFonts w:asciiTheme="majorHAnsi" w:hAnsiTheme="majorHAnsi"/>
                <w:sz w:val="24"/>
                <w:szCs w:val="24"/>
              </w:rPr>
              <w:t>4</w:t>
            </w:r>
            <w:r>
              <w:rPr>
                <w:rFonts w:asciiTheme="majorHAnsi" w:hAnsiTheme="majorHAnsi"/>
                <w:sz w:val="24"/>
                <w:szCs w:val="24"/>
              </w:rPr>
              <w:t>0.000</w:t>
            </w:r>
          </w:p>
          <w:p w:rsidR="008332CC" w:rsidRDefault="008332CC" w:rsidP="00002B64">
            <w:pPr>
              <w:pStyle w:val="Paragraphedeliste"/>
              <w:ind w:left="0"/>
              <w:rPr>
                <w:rFonts w:asciiTheme="majorHAnsi" w:hAnsiTheme="majorHAnsi"/>
                <w:sz w:val="24"/>
                <w:szCs w:val="24"/>
              </w:rPr>
            </w:pPr>
            <w:r w:rsidRPr="008332CC">
              <w:rPr>
                <w:rFonts w:asciiTheme="majorHAnsi" w:hAnsiTheme="majorHAnsi"/>
                <w:b/>
                <w:bCs/>
                <w:i/>
                <w:iCs/>
                <w:sz w:val="24"/>
                <w:szCs w:val="24"/>
              </w:rPr>
              <w:t xml:space="preserve">Argumentations : </w:t>
            </w:r>
            <w:r>
              <w:rPr>
                <w:rFonts w:asciiTheme="majorHAnsi" w:hAnsiTheme="majorHAnsi"/>
                <w:sz w:val="24"/>
                <w:szCs w:val="24"/>
              </w:rPr>
              <w:t>article 10,11 et 12 du code IRPP et IS.</w:t>
            </w:r>
          </w:p>
          <w:p w:rsidR="008332CC" w:rsidRDefault="008332CC" w:rsidP="00055B54">
            <w:pPr>
              <w:pStyle w:val="Paragraphedeliste"/>
              <w:ind w:left="0"/>
            </w:pPr>
            <w:r>
              <w:rPr>
                <w:rFonts w:asciiTheme="majorHAnsi" w:hAnsiTheme="majorHAnsi"/>
                <w:sz w:val="24"/>
                <w:szCs w:val="24"/>
              </w:rPr>
              <w:t xml:space="preserve">Norme NCT </w:t>
            </w:r>
            <w:r w:rsidR="00055B54">
              <w:rPr>
                <w:rFonts w:asciiTheme="majorHAnsi" w:hAnsiTheme="majorHAnsi"/>
                <w:sz w:val="24"/>
                <w:szCs w:val="24"/>
              </w:rPr>
              <w:t>3</w:t>
            </w:r>
            <w:r>
              <w:rPr>
                <w:rFonts w:asciiTheme="majorHAnsi" w:hAnsiTheme="majorHAnsi"/>
                <w:sz w:val="24"/>
                <w:szCs w:val="24"/>
              </w:rPr>
              <w:t xml:space="preserve"> et </w:t>
            </w:r>
            <w:r w:rsidR="00055B54">
              <w:rPr>
                <w:rFonts w:asciiTheme="majorHAnsi" w:hAnsiTheme="majorHAnsi"/>
                <w:sz w:val="24"/>
                <w:szCs w:val="24"/>
              </w:rPr>
              <w:t>5</w:t>
            </w:r>
          </w:p>
        </w:tc>
        <w:tc>
          <w:tcPr>
            <w:tcW w:w="2126" w:type="dxa"/>
          </w:tcPr>
          <w:p w:rsidR="00002B64" w:rsidRDefault="00002B64" w:rsidP="00CE25C2">
            <w:pPr>
              <w:jc w:val="right"/>
              <w:rPr>
                <w:rFonts w:asciiTheme="majorHAnsi" w:hAnsiTheme="majorHAnsi"/>
              </w:rPr>
            </w:pPr>
          </w:p>
          <w:p w:rsidR="00002B64" w:rsidRDefault="00002B64" w:rsidP="00CE25C2">
            <w:pPr>
              <w:jc w:val="right"/>
              <w:rPr>
                <w:rFonts w:asciiTheme="majorHAnsi" w:hAnsiTheme="majorHAnsi"/>
              </w:rPr>
            </w:pPr>
          </w:p>
          <w:p w:rsidR="00C90377" w:rsidRDefault="00C90377" w:rsidP="00CE25C2">
            <w:pPr>
              <w:jc w:val="right"/>
              <w:rPr>
                <w:rFonts w:asciiTheme="majorHAnsi" w:hAnsiTheme="majorHAnsi"/>
              </w:rPr>
            </w:pPr>
            <w:r>
              <w:rPr>
                <w:rFonts w:asciiTheme="majorHAnsi" w:hAnsiTheme="majorHAnsi"/>
              </w:rPr>
              <w:t>9</w:t>
            </w:r>
            <w:r w:rsidRPr="00830A28">
              <w:rPr>
                <w:rFonts w:asciiTheme="majorHAnsi" w:hAnsiTheme="majorHAnsi"/>
              </w:rPr>
              <w:t>0.000</w:t>
            </w:r>
            <w:r>
              <w:rPr>
                <w:rFonts w:asciiTheme="majorHAnsi" w:hAnsiTheme="majorHAnsi"/>
              </w:rPr>
              <w:t>,000</w:t>
            </w:r>
          </w:p>
          <w:p w:rsidR="00002B64" w:rsidRDefault="00002B64" w:rsidP="00CE25C2">
            <w:pPr>
              <w:jc w:val="right"/>
              <w:rPr>
                <w:rFonts w:asciiTheme="majorHAnsi" w:hAnsiTheme="majorHAnsi"/>
              </w:rPr>
            </w:pPr>
          </w:p>
          <w:p w:rsidR="00002B64" w:rsidRPr="00830A28" w:rsidRDefault="00002B64" w:rsidP="00CE25C2">
            <w:pPr>
              <w:jc w:val="right"/>
            </w:pPr>
            <w:r>
              <w:rPr>
                <w:rFonts w:asciiTheme="majorHAnsi" w:hAnsiTheme="majorHAnsi"/>
              </w:rPr>
              <w:t>160.000,000</w:t>
            </w:r>
          </w:p>
        </w:tc>
        <w:tc>
          <w:tcPr>
            <w:tcW w:w="2126" w:type="dxa"/>
          </w:tcPr>
          <w:p w:rsidR="00C90377" w:rsidRDefault="00C90377" w:rsidP="00CE25C2"/>
        </w:tc>
      </w:tr>
      <w:tr w:rsidR="00002B64" w:rsidTr="00CE25C2">
        <w:trPr>
          <w:trHeight w:val="396"/>
        </w:trPr>
        <w:tc>
          <w:tcPr>
            <w:tcW w:w="5495" w:type="dxa"/>
            <w:vAlign w:val="center"/>
          </w:tcPr>
          <w:p w:rsidR="00002B64" w:rsidRDefault="00002B64" w:rsidP="00002B64">
            <w:pPr>
              <w:pStyle w:val="Paragraphedeliste"/>
              <w:ind w:left="0"/>
              <w:jc w:val="both"/>
              <w:rPr>
                <w:rFonts w:asciiTheme="majorHAnsi" w:hAnsiTheme="majorHAnsi"/>
                <w:sz w:val="24"/>
                <w:szCs w:val="24"/>
              </w:rPr>
            </w:pPr>
            <w:r w:rsidRPr="00002B64">
              <w:rPr>
                <w:rFonts w:asciiTheme="majorHAnsi" w:hAnsiTheme="majorHAnsi"/>
                <w:sz w:val="24"/>
                <w:szCs w:val="24"/>
              </w:rPr>
              <w:t>Les dividendes perçus de l’étranger sont imposables en Tunisie</w:t>
            </w:r>
            <w:r>
              <w:rPr>
                <w:rFonts w:asciiTheme="majorHAnsi" w:hAnsiTheme="majorHAnsi"/>
                <w:sz w:val="24"/>
                <w:szCs w:val="24"/>
              </w:rPr>
              <w:t xml:space="preserve"> </w:t>
            </w:r>
            <w:r w:rsidRPr="00002B64">
              <w:rPr>
                <w:rFonts w:asciiTheme="majorHAnsi" w:hAnsiTheme="majorHAnsi"/>
                <w:sz w:val="24"/>
                <w:szCs w:val="24"/>
              </w:rPr>
              <w:t>pour leur valeur brute</w:t>
            </w:r>
            <w:r>
              <w:rPr>
                <w:rFonts w:asciiTheme="majorHAnsi" w:hAnsiTheme="majorHAnsi"/>
                <w:sz w:val="24"/>
                <w:szCs w:val="24"/>
              </w:rPr>
              <w:t> :</w:t>
            </w:r>
          </w:p>
          <w:p w:rsidR="00002B64" w:rsidRPr="00922D2E" w:rsidRDefault="00002B64" w:rsidP="00002B64">
            <w:pPr>
              <w:pStyle w:val="Paragraphedeliste"/>
              <w:ind w:left="0"/>
              <w:jc w:val="both"/>
              <w:rPr>
                <w:rFonts w:asciiTheme="majorHAnsi" w:hAnsiTheme="majorHAnsi"/>
                <w:sz w:val="24"/>
                <w:szCs w:val="24"/>
              </w:rPr>
            </w:pPr>
            <w:r>
              <w:rPr>
                <w:rFonts w:asciiTheme="majorHAnsi" w:hAnsiTheme="majorHAnsi"/>
                <w:sz w:val="24"/>
                <w:szCs w:val="24"/>
              </w:rPr>
              <w:t>Div</w:t>
            </w:r>
            <w:r w:rsidR="00472C5F">
              <w:rPr>
                <w:rFonts w:asciiTheme="majorHAnsi" w:hAnsiTheme="majorHAnsi"/>
                <w:sz w:val="24"/>
                <w:szCs w:val="24"/>
              </w:rPr>
              <w:t>idende</w:t>
            </w:r>
            <w:r>
              <w:rPr>
                <w:rFonts w:asciiTheme="majorHAnsi" w:hAnsiTheme="majorHAnsi"/>
                <w:sz w:val="24"/>
                <w:szCs w:val="24"/>
              </w:rPr>
              <w:t xml:space="preserve"> brut = 65.000 / 0, 85 = 76.470,588 </w:t>
            </w:r>
          </w:p>
          <w:p w:rsidR="008315FB" w:rsidRDefault="008315FB" w:rsidP="008315FB">
            <w:pPr>
              <w:jc w:val="both"/>
              <w:rPr>
                <w:rFonts w:asciiTheme="majorHAnsi" w:hAnsiTheme="majorHAnsi"/>
                <w:sz w:val="24"/>
                <w:szCs w:val="24"/>
              </w:rPr>
            </w:pPr>
            <w:r w:rsidRPr="008315FB">
              <w:rPr>
                <w:rFonts w:asciiTheme="majorHAnsi" w:hAnsiTheme="majorHAnsi"/>
                <w:sz w:val="24"/>
                <w:szCs w:val="24"/>
              </w:rPr>
              <w:t>Réintégration de la différence non comptabilisée</w:t>
            </w:r>
            <w:r>
              <w:rPr>
                <w:rFonts w:asciiTheme="majorHAnsi" w:hAnsiTheme="majorHAnsi"/>
                <w:sz w:val="24"/>
                <w:szCs w:val="24"/>
              </w:rPr>
              <w:t xml:space="preserve"> = 76.470,588 - 65.000,000 = 11.470,588 </w:t>
            </w:r>
          </w:p>
          <w:p w:rsidR="008332CC" w:rsidRDefault="008332CC" w:rsidP="008332CC">
            <w:pPr>
              <w:pStyle w:val="Paragraphedeliste"/>
              <w:ind w:left="0"/>
              <w:rPr>
                <w:rFonts w:asciiTheme="majorHAnsi" w:hAnsiTheme="majorHAnsi"/>
                <w:sz w:val="24"/>
                <w:szCs w:val="24"/>
              </w:rPr>
            </w:pPr>
            <w:r w:rsidRPr="008332CC">
              <w:rPr>
                <w:rFonts w:asciiTheme="majorHAnsi" w:hAnsiTheme="majorHAnsi"/>
                <w:b/>
                <w:bCs/>
                <w:i/>
                <w:iCs/>
                <w:sz w:val="24"/>
                <w:szCs w:val="24"/>
              </w:rPr>
              <w:t xml:space="preserve">Argumentations : </w:t>
            </w:r>
            <w:r>
              <w:rPr>
                <w:rFonts w:asciiTheme="majorHAnsi" w:hAnsiTheme="majorHAnsi"/>
                <w:sz w:val="24"/>
                <w:szCs w:val="24"/>
              </w:rPr>
              <w:t>article 10,11 du code IRPP et IS.</w:t>
            </w:r>
          </w:p>
          <w:p w:rsidR="008332CC" w:rsidRDefault="008332CC" w:rsidP="008332CC">
            <w:pPr>
              <w:jc w:val="both"/>
              <w:rPr>
                <w:rFonts w:asciiTheme="majorHAnsi" w:hAnsiTheme="majorHAnsi"/>
                <w:sz w:val="24"/>
                <w:szCs w:val="24"/>
              </w:rPr>
            </w:pPr>
            <w:r>
              <w:rPr>
                <w:rFonts w:asciiTheme="majorHAnsi" w:hAnsiTheme="majorHAnsi"/>
                <w:sz w:val="24"/>
                <w:szCs w:val="24"/>
              </w:rPr>
              <w:t>Norme NCT 7</w:t>
            </w:r>
          </w:p>
          <w:p w:rsidR="00002B64" w:rsidRPr="00922D2E" w:rsidRDefault="008315FB" w:rsidP="008315FB">
            <w:pPr>
              <w:jc w:val="both"/>
              <w:rPr>
                <w:rFonts w:asciiTheme="majorHAnsi" w:hAnsiTheme="majorHAnsi"/>
                <w:sz w:val="24"/>
                <w:szCs w:val="24"/>
              </w:rPr>
            </w:pPr>
            <w:r>
              <w:rPr>
                <w:rFonts w:asciiTheme="majorHAnsi" w:hAnsiTheme="majorHAnsi"/>
                <w:sz w:val="24"/>
                <w:szCs w:val="24"/>
              </w:rPr>
              <w:t xml:space="preserve">  </w:t>
            </w:r>
          </w:p>
        </w:tc>
        <w:tc>
          <w:tcPr>
            <w:tcW w:w="2126" w:type="dxa"/>
            <w:vAlign w:val="center"/>
          </w:tcPr>
          <w:p w:rsidR="00002B64" w:rsidRDefault="00317106" w:rsidP="00CE25C2">
            <w:pPr>
              <w:jc w:val="right"/>
            </w:pPr>
            <w:r>
              <w:t>11.470,588</w:t>
            </w:r>
          </w:p>
        </w:tc>
        <w:tc>
          <w:tcPr>
            <w:tcW w:w="2126" w:type="dxa"/>
            <w:vAlign w:val="center"/>
          </w:tcPr>
          <w:p w:rsidR="00002B64" w:rsidRDefault="00002B64" w:rsidP="00CE25C2">
            <w:pPr>
              <w:jc w:val="right"/>
            </w:pPr>
          </w:p>
        </w:tc>
      </w:tr>
      <w:tr w:rsidR="00472C5F" w:rsidTr="00CE25C2">
        <w:trPr>
          <w:trHeight w:val="396"/>
        </w:trPr>
        <w:tc>
          <w:tcPr>
            <w:tcW w:w="5495" w:type="dxa"/>
            <w:vAlign w:val="center"/>
          </w:tcPr>
          <w:p w:rsidR="008332CC" w:rsidRDefault="00472C5F" w:rsidP="00472C5F">
            <w:pPr>
              <w:pStyle w:val="Paragraphedeliste"/>
              <w:ind w:left="0"/>
              <w:jc w:val="both"/>
              <w:rPr>
                <w:rFonts w:asciiTheme="majorHAnsi" w:hAnsiTheme="majorHAnsi"/>
                <w:sz w:val="24"/>
                <w:szCs w:val="24"/>
              </w:rPr>
            </w:pPr>
            <w:r>
              <w:rPr>
                <w:rFonts w:asciiTheme="majorHAnsi" w:hAnsiTheme="majorHAnsi"/>
                <w:sz w:val="24"/>
                <w:szCs w:val="24"/>
              </w:rPr>
              <w:t xml:space="preserve">Réintégration </w:t>
            </w:r>
            <w:r w:rsidR="00ED589F">
              <w:rPr>
                <w:rFonts w:asciiTheme="majorHAnsi" w:hAnsiTheme="majorHAnsi"/>
                <w:sz w:val="24"/>
                <w:szCs w:val="24"/>
              </w:rPr>
              <w:t xml:space="preserve">définitif </w:t>
            </w:r>
            <w:r w:rsidRPr="00472C5F">
              <w:rPr>
                <w:rFonts w:asciiTheme="majorHAnsi" w:hAnsiTheme="majorHAnsi"/>
                <w:sz w:val="24"/>
                <w:szCs w:val="24"/>
              </w:rPr>
              <w:t>d’une provision pour dépréciation des actions détenues dans une filiale installée en Espagne et cotées à la bource d’Espagne pour un montant de 50.000 TND</w:t>
            </w:r>
            <w:r>
              <w:rPr>
                <w:rFonts w:asciiTheme="majorHAnsi" w:hAnsiTheme="majorHAnsi"/>
                <w:sz w:val="24"/>
                <w:szCs w:val="24"/>
              </w:rPr>
              <w:t xml:space="preserve"> : </w:t>
            </w:r>
            <w:r w:rsidRPr="00472C5F">
              <w:rPr>
                <w:rFonts w:asciiTheme="majorHAnsi" w:hAnsiTheme="majorHAnsi"/>
                <w:sz w:val="24"/>
                <w:szCs w:val="24"/>
              </w:rPr>
              <w:t>Seules les provisions pour dépréciation des actions cotées à la BVMT sont déductibles</w:t>
            </w:r>
            <w:r>
              <w:rPr>
                <w:rFonts w:asciiTheme="majorHAnsi" w:hAnsiTheme="majorHAnsi"/>
                <w:sz w:val="24"/>
                <w:szCs w:val="24"/>
              </w:rPr>
              <w:t>.</w:t>
            </w:r>
            <w:r w:rsidRPr="00472C5F">
              <w:rPr>
                <w:rFonts w:asciiTheme="majorHAnsi" w:hAnsiTheme="majorHAnsi"/>
                <w:sz w:val="24"/>
                <w:szCs w:val="24"/>
              </w:rPr>
              <w:t xml:space="preserve">  </w:t>
            </w:r>
          </w:p>
          <w:p w:rsidR="00472C5F" w:rsidRPr="00922D2E" w:rsidRDefault="008332CC" w:rsidP="008332CC">
            <w:pPr>
              <w:pStyle w:val="Paragraphedeliste"/>
              <w:ind w:left="0"/>
              <w:rPr>
                <w:rFonts w:asciiTheme="majorHAnsi" w:hAnsiTheme="majorHAnsi"/>
                <w:sz w:val="24"/>
                <w:szCs w:val="24"/>
              </w:rPr>
            </w:pPr>
            <w:r w:rsidRPr="008332CC">
              <w:rPr>
                <w:rFonts w:asciiTheme="majorHAnsi" w:hAnsiTheme="majorHAnsi"/>
                <w:b/>
                <w:bCs/>
                <w:i/>
                <w:iCs/>
                <w:sz w:val="24"/>
                <w:szCs w:val="24"/>
              </w:rPr>
              <w:t xml:space="preserve">Argumentations : </w:t>
            </w:r>
            <w:r>
              <w:rPr>
                <w:rFonts w:asciiTheme="majorHAnsi" w:hAnsiTheme="majorHAnsi"/>
                <w:sz w:val="24"/>
                <w:szCs w:val="24"/>
              </w:rPr>
              <w:t>article 11-I du code IRPP et IS.</w:t>
            </w:r>
          </w:p>
        </w:tc>
        <w:tc>
          <w:tcPr>
            <w:tcW w:w="2126" w:type="dxa"/>
            <w:vAlign w:val="center"/>
          </w:tcPr>
          <w:p w:rsidR="00472C5F" w:rsidRDefault="00472C5F" w:rsidP="00CE25C2">
            <w:pPr>
              <w:jc w:val="right"/>
            </w:pPr>
            <w:r>
              <w:t>50.000,000</w:t>
            </w:r>
          </w:p>
        </w:tc>
        <w:tc>
          <w:tcPr>
            <w:tcW w:w="2126" w:type="dxa"/>
            <w:vAlign w:val="center"/>
          </w:tcPr>
          <w:p w:rsidR="00472C5F" w:rsidRDefault="00472C5F" w:rsidP="00CE25C2">
            <w:pPr>
              <w:jc w:val="right"/>
            </w:pPr>
          </w:p>
        </w:tc>
      </w:tr>
      <w:tr w:rsidR="00472C5F" w:rsidTr="008937DE">
        <w:trPr>
          <w:trHeight w:val="815"/>
        </w:trPr>
        <w:tc>
          <w:tcPr>
            <w:tcW w:w="5495" w:type="dxa"/>
            <w:vAlign w:val="center"/>
          </w:tcPr>
          <w:p w:rsidR="00472C5F" w:rsidRDefault="00472C5F" w:rsidP="00CE25C2">
            <w:pPr>
              <w:jc w:val="both"/>
              <w:rPr>
                <w:rFonts w:asciiTheme="majorHAnsi" w:hAnsiTheme="majorHAnsi"/>
                <w:sz w:val="24"/>
                <w:szCs w:val="24"/>
              </w:rPr>
            </w:pPr>
            <w:r>
              <w:rPr>
                <w:rFonts w:asciiTheme="majorHAnsi" w:hAnsiTheme="majorHAnsi"/>
                <w:sz w:val="24"/>
                <w:szCs w:val="24"/>
              </w:rPr>
              <w:t xml:space="preserve">Réintégration </w:t>
            </w:r>
            <w:r w:rsidRPr="00EA3BD7">
              <w:rPr>
                <w:rFonts w:asciiTheme="majorHAnsi" w:hAnsiTheme="majorHAnsi"/>
                <w:b/>
                <w:bCs/>
                <w:i/>
                <w:iCs/>
                <w:sz w:val="24"/>
                <w:szCs w:val="24"/>
              </w:rPr>
              <w:t xml:space="preserve">définitif </w:t>
            </w:r>
            <w:r>
              <w:rPr>
                <w:rFonts w:asciiTheme="majorHAnsi" w:hAnsiTheme="majorHAnsi"/>
                <w:sz w:val="24"/>
                <w:szCs w:val="24"/>
              </w:rPr>
              <w:t>d’une provision p</w:t>
            </w:r>
            <w:r w:rsidRPr="00FD7D7C">
              <w:rPr>
                <w:rFonts w:asciiTheme="majorHAnsi" w:hAnsiTheme="majorHAnsi"/>
                <w:sz w:val="24"/>
                <w:szCs w:val="24"/>
              </w:rPr>
              <w:t>our risque de change </w:t>
            </w:r>
            <w:r>
              <w:rPr>
                <w:rFonts w:asciiTheme="majorHAnsi" w:hAnsiTheme="majorHAnsi"/>
                <w:sz w:val="24"/>
                <w:szCs w:val="24"/>
              </w:rPr>
              <w:t>estimé à un montant de</w:t>
            </w:r>
            <w:r w:rsidRPr="00FD7D7C">
              <w:rPr>
                <w:rFonts w:asciiTheme="majorHAnsi" w:hAnsiTheme="majorHAnsi"/>
                <w:sz w:val="24"/>
                <w:szCs w:val="24"/>
              </w:rPr>
              <w:t xml:space="preserve"> 20.000 </w:t>
            </w:r>
            <w:r>
              <w:rPr>
                <w:rFonts w:asciiTheme="majorHAnsi" w:hAnsiTheme="majorHAnsi"/>
                <w:sz w:val="24"/>
                <w:szCs w:val="24"/>
              </w:rPr>
              <w:t>TND</w:t>
            </w:r>
          </w:p>
          <w:p w:rsidR="008332CC" w:rsidRDefault="008332CC" w:rsidP="008332CC">
            <w:pPr>
              <w:jc w:val="both"/>
              <w:rPr>
                <w:rFonts w:asciiTheme="majorHAnsi" w:hAnsiTheme="majorHAnsi"/>
                <w:sz w:val="24"/>
                <w:szCs w:val="24"/>
              </w:rPr>
            </w:pPr>
            <w:r w:rsidRPr="008332CC">
              <w:rPr>
                <w:rFonts w:asciiTheme="majorHAnsi" w:hAnsiTheme="majorHAnsi"/>
                <w:b/>
                <w:bCs/>
                <w:i/>
                <w:iCs/>
                <w:sz w:val="24"/>
                <w:szCs w:val="24"/>
              </w:rPr>
              <w:t xml:space="preserve">Argumentations : </w:t>
            </w:r>
            <w:r>
              <w:rPr>
                <w:rFonts w:asciiTheme="majorHAnsi" w:hAnsiTheme="majorHAnsi"/>
                <w:sz w:val="24"/>
                <w:szCs w:val="24"/>
              </w:rPr>
              <w:t>article 12 du code</w:t>
            </w:r>
            <w:r w:rsidR="008311EC">
              <w:rPr>
                <w:rFonts w:asciiTheme="majorHAnsi" w:hAnsiTheme="majorHAnsi"/>
                <w:sz w:val="24"/>
                <w:szCs w:val="24"/>
              </w:rPr>
              <w:t xml:space="preserve"> IRPP et IS.</w:t>
            </w:r>
          </w:p>
          <w:p w:rsidR="005E3855" w:rsidRDefault="005E3855" w:rsidP="008332CC">
            <w:pPr>
              <w:jc w:val="both"/>
              <w:rPr>
                <w:rFonts w:asciiTheme="majorHAnsi" w:hAnsiTheme="majorHAnsi"/>
                <w:sz w:val="24"/>
                <w:szCs w:val="24"/>
              </w:rPr>
            </w:pPr>
          </w:p>
          <w:p w:rsidR="005E3855" w:rsidRDefault="005E3855" w:rsidP="008332CC">
            <w:pPr>
              <w:jc w:val="both"/>
              <w:rPr>
                <w:rFonts w:asciiTheme="majorHAnsi" w:hAnsiTheme="majorHAnsi"/>
                <w:sz w:val="24"/>
                <w:szCs w:val="24"/>
              </w:rPr>
            </w:pPr>
          </w:p>
          <w:p w:rsidR="005E3855" w:rsidRPr="00922D2E" w:rsidRDefault="005E3855" w:rsidP="008332CC">
            <w:pPr>
              <w:jc w:val="both"/>
              <w:rPr>
                <w:rFonts w:asciiTheme="majorHAnsi" w:hAnsiTheme="majorHAnsi"/>
                <w:sz w:val="24"/>
                <w:szCs w:val="24"/>
              </w:rPr>
            </w:pPr>
          </w:p>
        </w:tc>
        <w:tc>
          <w:tcPr>
            <w:tcW w:w="2126" w:type="dxa"/>
            <w:vAlign w:val="center"/>
          </w:tcPr>
          <w:p w:rsidR="00472C5F" w:rsidRDefault="00472C5F" w:rsidP="00CE25C2">
            <w:pPr>
              <w:jc w:val="right"/>
            </w:pPr>
            <w:r>
              <w:t>20.000,000</w:t>
            </w:r>
          </w:p>
        </w:tc>
        <w:tc>
          <w:tcPr>
            <w:tcW w:w="2126" w:type="dxa"/>
            <w:vAlign w:val="center"/>
          </w:tcPr>
          <w:p w:rsidR="00472C5F" w:rsidRDefault="00472C5F" w:rsidP="00CE25C2">
            <w:pPr>
              <w:jc w:val="right"/>
            </w:pPr>
          </w:p>
        </w:tc>
      </w:tr>
      <w:tr w:rsidR="00C90377" w:rsidTr="00CE25C2">
        <w:trPr>
          <w:trHeight w:val="396"/>
        </w:trPr>
        <w:tc>
          <w:tcPr>
            <w:tcW w:w="5495" w:type="dxa"/>
            <w:vAlign w:val="center"/>
          </w:tcPr>
          <w:p w:rsidR="00C90377" w:rsidRDefault="00C90377" w:rsidP="00D06898">
            <w:pPr>
              <w:jc w:val="both"/>
              <w:rPr>
                <w:rFonts w:asciiTheme="majorHAnsi" w:hAnsiTheme="majorHAnsi"/>
                <w:sz w:val="24"/>
                <w:szCs w:val="24"/>
              </w:rPr>
            </w:pPr>
            <w:r w:rsidRPr="00922D2E">
              <w:rPr>
                <w:rFonts w:asciiTheme="majorHAnsi" w:hAnsiTheme="majorHAnsi"/>
                <w:sz w:val="24"/>
                <w:szCs w:val="24"/>
              </w:rPr>
              <w:lastRenderedPageBreak/>
              <w:t xml:space="preserve">Provision pour dépréciation des actions cotées en </w:t>
            </w:r>
            <w:r w:rsidR="00D06898">
              <w:rPr>
                <w:rFonts w:asciiTheme="majorHAnsi" w:hAnsiTheme="majorHAnsi"/>
                <w:sz w:val="24"/>
                <w:szCs w:val="24"/>
              </w:rPr>
              <w:t>BVMT</w:t>
            </w:r>
            <w:r>
              <w:rPr>
                <w:rFonts w:asciiTheme="majorHAnsi" w:hAnsiTheme="majorHAnsi"/>
                <w:sz w:val="24"/>
                <w:szCs w:val="24"/>
              </w:rPr>
              <w:t> :</w:t>
            </w:r>
          </w:p>
          <w:p w:rsidR="00C90377" w:rsidRDefault="00C90377" w:rsidP="00D06898">
            <w:pPr>
              <w:jc w:val="both"/>
              <w:rPr>
                <w:rFonts w:asciiTheme="majorHAnsi" w:hAnsiTheme="majorHAnsi"/>
                <w:sz w:val="24"/>
                <w:szCs w:val="24"/>
              </w:rPr>
            </w:pPr>
            <w:r>
              <w:rPr>
                <w:rFonts w:asciiTheme="majorHAnsi" w:hAnsiTheme="majorHAnsi"/>
                <w:sz w:val="24"/>
                <w:szCs w:val="24"/>
              </w:rPr>
              <w:t xml:space="preserve">- </w:t>
            </w:r>
            <w:r w:rsidRPr="00922D2E">
              <w:rPr>
                <w:rFonts w:asciiTheme="majorHAnsi" w:hAnsiTheme="majorHAnsi"/>
                <w:sz w:val="24"/>
                <w:szCs w:val="24"/>
              </w:rPr>
              <w:t>Coût d’acquisition : 25.000 x 12</w:t>
            </w:r>
            <w:r w:rsidR="00D06898">
              <w:rPr>
                <w:rFonts w:asciiTheme="majorHAnsi" w:hAnsiTheme="majorHAnsi"/>
                <w:sz w:val="24"/>
                <w:szCs w:val="24"/>
              </w:rPr>
              <w:t xml:space="preserve"> TND</w:t>
            </w:r>
            <w:r w:rsidRPr="00922D2E">
              <w:rPr>
                <w:rFonts w:asciiTheme="majorHAnsi" w:hAnsiTheme="majorHAnsi"/>
                <w:sz w:val="24"/>
                <w:szCs w:val="24"/>
              </w:rPr>
              <w:t xml:space="preserve"> = 300.000</w:t>
            </w:r>
            <w:r w:rsidR="00D06898">
              <w:rPr>
                <w:rFonts w:asciiTheme="majorHAnsi" w:hAnsiTheme="majorHAnsi"/>
                <w:sz w:val="24"/>
                <w:szCs w:val="24"/>
              </w:rPr>
              <w:t xml:space="preserve"> TND</w:t>
            </w:r>
          </w:p>
          <w:p w:rsidR="00C90377" w:rsidRDefault="00C90377" w:rsidP="00D06898">
            <w:pPr>
              <w:jc w:val="both"/>
              <w:rPr>
                <w:rFonts w:asciiTheme="majorHAnsi" w:hAnsiTheme="majorHAnsi"/>
                <w:sz w:val="24"/>
                <w:szCs w:val="24"/>
              </w:rPr>
            </w:pPr>
            <w:r>
              <w:rPr>
                <w:rFonts w:asciiTheme="majorHAnsi" w:hAnsiTheme="majorHAnsi"/>
                <w:sz w:val="24"/>
                <w:szCs w:val="24"/>
              </w:rPr>
              <w:t xml:space="preserve">- </w:t>
            </w:r>
            <w:r w:rsidRPr="00922D2E">
              <w:rPr>
                <w:rFonts w:asciiTheme="majorHAnsi" w:hAnsiTheme="majorHAnsi"/>
                <w:sz w:val="24"/>
                <w:szCs w:val="24"/>
              </w:rPr>
              <w:t>Valeur des actions compte tenu du cours moyen journalier du mois de décembre à la bourse de Tunis : 25.000 x 6</w:t>
            </w:r>
            <w:r w:rsidR="00D06898">
              <w:rPr>
                <w:rFonts w:asciiTheme="majorHAnsi" w:hAnsiTheme="majorHAnsi"/>
                <w:sz w:val="24"/>
                <w:szCs w:val="24"/>
              </w:rPr>
              <w:t xml:space="preserve"> TND </w:t>
            </w:r>
            <w:r w:rsidRPr="00922D2E">
              <w:rPr>
                <w:rFonts w:asciiTheme="majorHAnsi" w:hAnsiTheme="majorHAnsi"/>
                <w:sz w:val="24"/>
                <w:szCs w:val="24"/>
              </w:rPr>
              <w:t>= 150.000D</w:t>
            </w:r>
          </w:p>
          <w:p w:rsidR="00C90377" w:rsidRDefault="00C90377" w:rsidP="00CE25C2">
            <w:pPr>
              <w:jc w:val="both"/>
              <w:rPr>
                <w:rFonts w:asciiTheme="majorHAnsi" w:hAnsiTheme="majorHAnsi"/>
                <w:sz w:val="24"/>
                <w:szCs w:val="24"/>
              </w:rPr>
            </w:pPr>
            <w:r w:rsidRPr="00922D2E">
              <w:rPr>
                <w:rFonts w:asciiTheme="majorHAnsi" w:hAnsiTheme="majorHAnsi"/>
                <w:sz w:val="24"/>
                <w:szCs w:val="24"/>
              </w:rPr>
              <w:t>- Provision comptabilisée </w:t>
            </w:r>
            <w:r>
              <w:rPr>
                <w:rFonts w:asciiTheme="majorHAnsi" w:hAnsiTheme="majorHAnsi"/>
                <w:sz w:val="24"/>
                <w:szCs w:val="24"/>
              </w:rPr>
              <w:t>= 180.000,000</w:t>
            </w:r>
          </w:p>
          <w:p w:rsidR="00C90377" w:rsidRDefault="00C90377" w:rsidP="00CE25C2">
            <w:pPr>
              <w:jc w:val="both"/>
              <w:rPr>
                <w:rFonts w:asciiTheme="majorHAnsi" w:hAnsiTheme="majorHAnsi"/>
                <w:sz w:val="24"/>
                <w:szCs w:val="24"/>
              </w:rPr>
            </w:pPr>
            <w:r>
              <w:rPr>
                <w:rFonts w:asciiTheme="majorHAnsi" w:hAnsiTheme="majorHAnsi"/>
                <w:sz w:val="24"/>
                <w:szCs w:val="24"/>
              </w:rPr>
              <w:t>Réintégration définitif</w:t>
            </w:r>
            <w:r w:rsidR="008332CC">
              <w:rPr>
                <w:rFonts w:asciiTheme="majorHAnsi" w:hAnsiTheme="majorHAnsi"/>
                <w:sz w:val="24"/>
                <w:szCs w:val="24"/>
              </w:rPr>
              <w:t> :</w:t>
            </w:r>
          </w:p>
          <w:p w:rsidR="00C90377" w:rsidRDefault="00C90377" w:rsidP="00CE25C2">
            <w:pPr>
              <w:jc w:val="both"/>
              <w:rPr>
                <w:rFonts w:asciiTheme="majorHAnsi" w:hAnsiTheme="majorHAnsi"/>
                <w:sz w:val="24"/>
                <w:szCs w:val="24"/>
              </w:rPr>
            </w:pPr>
            <w:r>
              <w:rPr>
                <w:rFonts w:asciiTheme="majorHAnsi" w:hAnsiTheme="majorHAnsi"/>
                <w:sz w:val="24"/>
                <w:szCs w:val="24"/>
              </w:rPr>
              <w:t>Réintégration provisoire</w:t>
            </w:r>
            <w:r w:rsidR="008332CC">
              <w:rPr>
                <w:rFonts w:asciiTheme="majorHAnsi" w:hAnsiTheme="majorHAnsi"/>
                <w:sz w:val="24"/>
                <w:szCs w:val="24"/>
              </w:rPr>
              <w:t> :</w:t>
            </w:r>
          </w:p>
          <w:p w:rsidR="008937DE" w:rsidRPr="008332CC" w:rsidRDefault="008332CC" w:rsidP="008332CC">
            <w:pPr>
              <w:pStyle w:val="Paragraphedeliste"/>
              <w:ind w:left="0"/>
              <w:rPr>
                <w:rFonts w:asciiTheme="majorHAnsi" w:hAnsiTheme="majorHAnsi"/>
                <w:sz w:val="24"/>
                <w:szCs w:val="24"/>
              </w:rPr>
            </w:pPr>
            <w:r w:rsidRPr="008332CC">
              <w:rPr>
                <w:rFonts w:asciiTheme="majorHAnsi" w:hAnsiTheme="majorHAnsi"/>
                <w:b/>
                <w:bCs/>
                <w:i/>
                <w:iCs/>
                <w:sz w:val="24"/>
                <w:szCs w:val="24"/>
              </w:rPr>
              <w:t xml:space="preserve">Argumentations : </w:t>
            </w:r>
            <w:r>
              <w:rPr>
                <w:rFonts w:asciiTheme="majorHAnsi" w:hAnsiTheme="majorHAnsi"/>
                <w:sz w:val="24"/>
                <w:szCs w:val="24"/>
              </w:rPr>
              <w:t>article 11-I et 12 du code IRPP et IS.</w:t>
            </w:r>
          </w:p>
        </w:tc>
        <w:tc>
          <w:tcPr>
            <w:tcW w:w="2126" w:type="dxa"/>
            <w:vAlign w:val="center"/>
          </w:tcPr>
          <w:p w:rsidR="00C90377" w:rsidRDefault="00C90377" w:rsidP="00CE25C2">
            <w:pPr>
              <w:jc w:val="right"/>
            </w:pPr>
          </w:p>
          <w:p w:rsidR="00C90377" w:rsidRDefault="00C90377" w:rsidP="00CE25C2">
            <w:pPr>
              <w:jc w:val="right"/>
            </w:pPr>
          </w:p>
          <w:p w:rsidR="00C90377" w:rsidRDefault="00C90377" w:rsidP="00CE25C2">
            <w:pPr>
              <w:jc w:val="right"/>
            </w:pPr>
          </w:p>
          <w:p w:rsidR="00C90377" w:rsidRDefault="00C90377" w:rsidP="00CE25C2">
            <w:pPr>
              <w:jc w:val="right"/>
            </w:pPr>
          </w:p>
          <w:p w:rsidR="00C90377" w:rsidRDefault="00C90377" w:rsidP="00CE25C2">
            <w:pPr>
              <w:jc w:val="right"/>
            </w:pPr>
          </w:p>
          <w:p w:rsidR="00C90377" w:rsidRDefault="00C90377" w:rsidP="00CE25C2">
            <w:pPr>
              <w:jc w:val="right"/>
            </w:pPr>
          </w:p>
          <w:p w:rsidR="00C90377" w:rsidRDefault="00C90377" w:rsidP="00CE25C2">
            <w:pPr>
              <w:jc w:val="right"/>
            </w:pPr>
            <w:r>
              <w:t>30.000,000</w:t>
            </w:r>
          </w:p>
          <w:p w:rsidR="00C90377" w:rsidRDefault="00C90377" w:rsidP="00CE25C2">
            <w:pPr>
              <w:jc w:val="right"/>
            </w:pPr>
            <w:r>
              <w:t>150.000,000</w:t>
            </w:r>
          </w:p>
        </w:tc>
        <w:tc>
          <w:tcPr>
            <w:tcW w:w="2126" w:type="dxa"/>
            <w:vAlign w:val="center"/>
          </w:tcPr>
          <w:p w:rsidR="00C90377" w:rsidRDefault="00C90377" w:rsidP="00CE25C2">
            <w:pPr>
              <w:jc w:val="right"/>
            </w:pPr>
          </w:p>
        </w:tc>
      </w:tr>
      <w:tr w:rsidR="00C90377" w:rsidTr="0013298E">
        <w:trPr>
          <w:trHeight w:val="1545"/>
        </w:trPr>
        <w:tc>
          <w:tcPr>
            <w:tcW w:w="5495" w:type="dxa"/>
          </w:tcPr>
          <w:p w:rsidR="0013298E" w:rsidRDefault="0013298E" w:rsidP="00CE25C2">
            <w:pPr>
              <w:jc w:val="both"/>
              <w:rPr>
                <w:rFonts w:asciiTheme="majorHAnsi" w:hAnsiTheme="majorHAnsi"/>
                <w:sz w:val="24"/>
                <w:szCs w:val="24"/>
              </w:rPr>
            </w:pPr>
          </w:p>
          <w:p w:rsidR="00C90377" w:rsidRDefault="00C90377" w:rsidP="00CE25C2">
            <w:pPr>
              <w:jc w:val="both"/>
              <w:rPr>
                <w:rFonts w:asciiTheme="majorHAnsi" w:hAnsiTheme="majorHAnsi"/>
                <w:sz w:val="24"/>
                <w:szCs w:val="24"/>
              </w:rPr>
            </w:pPr>
            <w:r w:rsidRPr="00922D2E">
              <w:rPr>
                <w:rFonts w:asciiTheme="majorHAnsi" w:hAnsiTheme="majorHAnsi"/>
                <w:sz w:val="24"/>
                <w:szCs w:val="24"/>
              </w:rPr>
              <w:t xml:space="preserve">Pénalités </w:t>
            </w:r>
            <w:r w:rsidR="00D06898">
              <w:rPr>
                <w:rFonts w:asciiTheme="majorHAnsi" w:hAnsiTheme="majorHAnsi"/>
                <w:sz w:val="24"/>
                <w:szCs w:val="24"/>
              </w:rPr>
              <w:t>de livraison tardive prévue par un contrat avec un client</w:t>
            </w:r>
            <w:r w:rsidR="00D06898" w:rsidRPr="00FD7D7C">
              <w:rPr>
                <w:rFonts w:asciiTheme="majorHAnsi" w:hAnsiTheme="majorHAnsi"/>
                <w:sz w:val="24"/>
                <w:szCs w:val="24"/>
              </w:rPr>
              <w:t xml:space="preserve"> </w:t>
            </w:r>
            <w:r w:rsidR="00D06898">
              <w:rPr>
                <w:rFonts w:asciiTheme="majorHAnsi" w:hAnsiTheme="majorHAnsi"/>
                <w:sz w:val="24"/>
                <w:szCs w:val="24"/>
              </w:rPr>
              <w:t>pour un montant de</w:t>
            </w:r>
            <w:r w:rsidR="00D06898" w:rsidRPr="00FD7D7C">
              <w:rPr>
                <w:rFonts w:asciiTheme="majorHAnsi" w:hAnsiTheme="majorHAnsi"/>
                <w:sz w:val="24"/>
                <w:szCs w:val="24"/>
              </w:rPr>
              <w:t xml:space="preserve"> </w:t>
            </w:r>
            <w:r w:rsidR="00D06898">
              <w:rPr>
                <w:rFonts w:asciiTheme="majorHAnsi" w:hAnsiTheme="majorHAnsi"/>
                <w:sz w:val="24"/>
                <w:szCs w:val="24"/>
              </w:rPr>
              <w:t>9</w:t>
            </w:r>
            <w:r w:rsidR="00D06898" w:rsidRPr="00FD7D7C">
              <w:rPr>
                <w:rFonts w:asciiTheme="majorHAnsi" w:hAnsiTheme="majorHAnsi"/>
                <w:sz w:val="24"/>
                <w:szCs w:val="24"/>
              </w:rPr>
              <w:t xml:space="preserve">0.000 </w:t>
            </w:r>
            <w:r w:rsidR="00D06898">
              <w:rPr>
                <w:rFonts w:asciiTheme="majorHAnsi" w:hAnsiTheme="majorHAnsi"/>
                <w:sz w:val="24"/>
                <w:szCs w:val="24"/>
              </w:rPr>
              <w:t xml:space="preserve">TND </w:t>
            </w:r>
            <w:r w:rsidRPr="00922D2E">
              <w:rPr>
                <w:rFonts w:asciiTheme="majorHAnsi" w:hAnsiTheme="majorHAnsi"/>
                <w:sz w:val="24"/>
                <w:szCs w:val="24"/>
              </w:rPr>
              <w:t>sont déductibles du résultat fiscal</w:t>
            </w:r>
            <w:r w:rsidR="008332CC">
              <w:rPr>
                <w:rFonts w:asciiTheme="majorHAnsi" w:hAnsiTheme="majorHAnsi"/>
                <w:sz w:val="24"/>
                <w:szCs w:val="24"/>
              </w:rPr>
              <w:t>.</w:t>
            </w:r>
          </w:p>
          <w:p w:rsidR="008332CC" w:rsidRPr="00656691" w:rsidRDefault="008332CC" w:rsidP="008332CC">
            <w:pPr>
              <w:jc w:val="both"/>
              <w:rPr>
                <w:sz w:val="24"/>
                <w:szCs w:val="24"/>
              </w:rPr>
            </w:pPr>
            <w:r w:rsidRPr="008332CC">
              <w:rPr>
                <w:rFonts w:asciiTheme="majorHAnsi" w:hAnsiTheme="majorHAnsi"/>
                <w:b/>
                <w:bCs/>
                <w:i/>
                <w:iCs/>
                <w:sz w:val="24"/>
                <w:szCs w:val="24"/>
              </w:rPr>
              <w:t xml:space="preserve">Argumentations : </w:t>
            </w:r>
            <w:r>
              <w:rPr>
                <w:rFonts w:asciiTheme="majorHAnsi" w:hAnsiTheme="majorHAnsi"/>
                <w:sz w:val="24"/>
                <w:szCs w:val="24"/>
              </w:rPr>
              <w:t>article 14-8 du code IRPP et IS.</w:t>
            </w:r>
          </w:p>
        </w:tc>
        <w:tc>
          <w:tcPr>
            <w:tcW w:w="2126" w:type="dxa"/>
            <w:vAlign w:val="center"/>
          </w:tcPr>
          <w:p w:rsidR="00C90377" w:rsidRDefault="00C90377" w:rsidP="00CE25C2">
            <w:pPr>
              <w:jc w:val="center"/>
            </w:pPr>
            <w:r>
              <w:t>RAS</w:t>
            </w:r>
          </w:p>
        </w:tc>
        <w:tc>
          <w:tcPr>
            <w:tcW w:w="2126" w:type="dxa"/>
            <w:vAlign w:val="center"/>
          </w:tcPr>
          <w:p w:rsidR="00C90377" w:rsidRDefault="00C90377" w:rsidP="00CE25C2">
            <w:pPr>
              <w:jc w:val="center"/>
            </w:pPr>
            <w:r>
              <w:t>RAS</w:t>
            </w:r>
          </w:p>
        </w:tc>
      </w:tr>
      <w:tr w:rsidR="00C90377" w:rsidTr="0013298E">
        <w:trPr>
          <w:trHeight w:val="1123"/>
        </w:trPr>
        <w:tc>
          <w:tcPr>
            <w:tcW w:w="5495" w:type="dxa"/>
            <w:vAlign w:val="center"/>
          </w:tcPr>
          <w:p w:rsidR="00C90377" w:rsidRDefault="00ED589F" w:rsidP="00FA6C62">
            <w:pPr>
              <w:rPr>
                <w:rFonts w:asciiTheme="majorHAnsi" w:hAnsiTheme="majorHAnsi"/>
                <w:sz w:val="24"/>
                <w:szCs w:val="24"/>
              </w:rPr>
            </w:pPr>
            <w:r>
              <w:rPr>
                <w:rFonts w:asciiTheme="majorHAnsi" w:hAnsiTheme="majorHAnsi"/>
                <w:sz w:val="24"/>
                <w:szCs w:val="24"/>
              </w:rPr>
              <w:t>Déduction du p</w:t>
            </w:r>
            <w:r w:rsidR="00C90377" w:rsidRPr="00922D2E">
              <w:rPr>
                <w:rFonts w:asciiTheme="majorHAnsi" w:hAnsiTheme="majorHAnsi"/>
                <w:sz w:val="24"/>
                <w:szCs w:val="24"/>
              </w:rPr>
              <w:t>rofit de change</w:t>
            </w:r>
            <w:r>
              <w:rPr>
                <w:rFonts w:asciiTheme="majorHAnsi" w:hAnsiTheme="majorHAnsi"/>
                <w:sz w:val="24"/>
                <w:szCs w:val="24"/>
              </w:rPr>
              <w:t xml:space="preserve"> latent </w:t>
            </w:r>
            <w:r w:rsidR="00C90377" w:rsidRPr="00922D2E">
              <w:rPr>
                <w:rFonts w:asciiTheme="majorHAnsi" w:hAnsiTheme="majorHAnsi"/>
                <w:sz w:val="24"/>
                <w:szCs w:val="24"/>
              </w:rPr>
              <w:t xml:space="preserve"> non réalisé</w:t>
            </w:r>
          </w:p>
          <w:p w:rsidR="008332CC" w:rsidRDefault="008332CC" w:rsidP="008332CC">
            <w:pPr>
              <w:pStyle w:val="Paragraphedeliste"/>
              <w:ind w:left="0"/>
              <w:rPr>
                <w:rFonts w:asciiTheme="majorHAnsi" w:hAnsiTheme="majorHAnsi"/>
                <w:sz w:val="24"/>
                <w:szCs w:val="24"/>
              </w:rPr>
            </w:pPr>
            <w:r w:rsidRPr="008332CC">
              <w:rPr>
                <w:rFonts w:asciiTheme="majorHAnsi" w:hAnsiTheme="majorHAnsi"/>
                <w:b/>
                <w:bCs/>
                <w:i/>
                <w:iCs/>
                <w:sz w:val="24"/>
                <w:szCs w:val="24"/>
              </w:rPr>
              <w:t xml:space="preserve">Argumentations : </w:t>
            </w:r>
            <w:r>
              <w:rPr>
                <w:rFonts w:asciiTheme="majorHAnsi" w:hAnsiTheme="majorHAnsi"/>
                <w:sz w:val="24"/>
                <w:szCs w:val="24"/>
              </w:rPr>
              <w:t>article 10,11 du code IRPP et IS.</w:t>
            </w:r>
          </w:p>
          <w:p w:rsidR="008332CC" w:rsidRPr="008332CC" w:rsidRDefault="008332CC" w:rsidP="008332CC">
            <w:pPr>
              <w:jc w:val="both"/>
              <w:rPr>
                <w:rFonts w:asciiTheme="majorHAnsi" w:hAnsiTheme="majorHAnsi"/>
                <w:sz w:val="24"/>
                <w:szCs w:val="24"/>
              </w:rPr>
            </w:pPr>
            <w:r>
              <w:rPr>
                <w:rFonts w:asciiTheme="majorHAnsi" w:hAnsiTheme="majorHAnsi"/>
                <w:sz w:val="24"/>
                <w:szCs w:val="24"/>
              </w:rPr>
              <w:t>Norme NCT15</w:t>
            </w:r>
          </w:p>
        </w:tc>
        <w:tc>
          <w:tcPr>
            <w:tcW w:w="2126" w:type="dxa"/>
            <w:vAlign w:val="center"/>
          </w:tcPr>
          <w:p w:rsidR="00C90377" w:rsidRDefault="00C90377" w:rsidP="008937DE">
            <w:pPr>
              <w:jc w:val="right"/>
            </w:pPr>
          </w:p>
        </w:tc>
        <w:tc>
          <w:tcPr>
            <w:tcW w:w="2126" w:type="dxa"/>
            <w:vAlign w:val="center"/>
          </w:tcPr>
          <w:p w:rsidR="00C90377" w:rsidRDefault="00C90377" w:rsidP="008937DE">
            <w:pPr>
              <w:jc w:val="right"/>
            </w:pPr>
            <w:r>
              <w:t>60.000,000</w:t>
            </w:r>
          </w:p>
        </w:tc>
      </w:tr>
      <w:tr w:rsidR="00ED589F" w:rsidTr="0013298E">
        <w:trPr>
          <w:trHeight w:val="2130"/>
        </w:trPr>
        <w:tc>
          <w:tcPr>
            <w:tcW w:w="5495" w:type="dxa"/>
            <w:vAlign w:val="center"/>
          </w:tcPr>
          <w:p w:rsidR="00ED589F" w:rsidRDefault="00ED589F" w:rsidP="00DB4D13">
            <w:pPr>
              <w:jc w:val="both"/>
              <w:rPr>
                <w:rFonts w:asciiTheme="majorHAnsi" w:hAnsiTheme="majorHAnsi"/>
                <w:sz w:val="24"/>
                <w:szCs w:val="24"/>
              </w:rPr>
            </w:pPr>
            <w:r>
              <w:rPr>
                <w:rFonts w:asciiTheme="majorHAnsi" w:hAnsiTheme="majorHAnsi"/>
                <w:sz w:val="24"/>
                <w:szCs w:val="24"/>
              </w:rPr>
              <w:t>P</w:t>
            </w:r>
            <w:r w:rsidRPr="00FD7D7C">
              <w:rPr>
                <w:rFonts w:asciiTheme="majorHAnsi" w:hAnsiTheme="majorHAnsi"/>
                <w:sz w:val="24"/>
                <w:szCs w:val="24"/>
              </w:rPr>
              <w:t xml:space="preserve">lus value de cession des actions cotées à la </w:t>
            </w:r>
            <w:r>
              <w:rPr>
                <w:rFonts w:asciiTheme="majorHAnsi" w:hAnsiTheme="majorHAnsi"/>
                <w:sz w:val="24"/>
                <w:szCs w:val="24"/>
              </w:rPr>
              <w:t xml:space="preserve">BVMT : </w:t>
            </w:r>
            <w:r w:rsidRPr="00ED589F">
              <w:rPr>
                <w:rFonts w:asciiTheme="majorHAnsi" w:hAnsiTheme="majorHAnsi"/>
                <w:sz w:val="24"/>
                <w:szCs w:val="24"/>
              </w:rPr>
              <w:t xml:space="preserve">S’agissant des actions acquises </w:t>
            </w:r>
            <w:r w:rsidRPr="00ED589F">
              <w:rPr>
                <w:rFonts w:asciiTheme="majorHAnsi" w:hAnsiTheme="majorHAnsi"/>
                <w:b/>
                <w:bCs/>
                <w:i/>
                <w:iCs/>
                <w:sz w:val="24"/>
                <w:szCs w:val="24"/>
              </w:rPr>
              <w:t>après 1</w:t>
            </w:r>
            <w:r w:rsidRPr="00ED589F">
              <w:rPr>
                <w:rFonts w:asciiTheme="majorHAnsi" w:hAnsiTheme="majorHAnsi"/>
                <w:b/>
                <w:bCs/>
                <w:i/>
                <w:iCs/>
                <w:sz w:val="24"/>
                <w:szCs w:val="24"/>
                <w:vertAlign w:val="superscript"/>
              </w:rPr>
              <w:t>er</w:t>
            </w:r>
            <w:r w:rsidRPr="00ED589F">
              <w:rPr>
                <w:rFonts w:asciiTheme="majorHAnsi" w:hAnsiTheme="majorHAnsi"/>
                <w:b/>
                <w:bCs/>
                <w:i/>
                <w:iCs/>
                <w:sz w:val="24"/>
                <w:szCs w:val="24"/>
              </w:rPr>
              <w:t xml:space="preserve"> janvier 2011</w:t>
            </w:r>
            <w:r w:rsidRPr="00ED589F">
              <w:rPr>
                <w:rFonts w:asciiTheme="majorHAnsi" w:hAnsiTheme="majorHAnsi"/>
                <w:sz w:val="24"/>
                <w:szCs w:val="24"/>
              </w:rPr>
              <w:t xml:space="preserve"> et cédées au cours de </w:t>
            </w:r>
            <w:r w:rsidRPr="00ED589F">
              <w:rPr>
                <w:rFonts w:asciiTheme="majorHAnsi" w:hAnsiTheme="majorHAnsi"/>
                <w:b/>
                <w:bCs/>
                <w:i/>
                <w:iCs/>
                <w:sz w:val="24"/>
                <w:szCs w:val="24"/>
              </w:rPr>
              <w:t>la même année</w:t>
            </w:r>
            <w:r w:rsidRPr="00ED589F">
              <w:rPr>
                <w:rFonts w:asciiTheme="majorHAnsi" w:hAnsiTheme="majorHAnsi"/>
                <w:sz w:val="24"/>
                <w:szCs w:val="24"/>
              </w:rPr>
              <w:t xml:space="preserve"> : il s’agit d’un produit imposable. </w:t>
            </w:r>
          </w:p>
          <w:p w:rsidR="008332CC" w:rsidRPr="00922D2E" w:rsidRDefault="008332CC" w:rsidP="00DB4D13">
            <w:pPr>
              <w:jc w:val="both"/>
              <w:rPr>
                <w:rFonts w:asciiTheme="majorHAnsi" w:hAnsiTheme="majorHAnsi"/>
                <w:sz w:val="24"/>
                <w:szCs w:val="24"/>
              </w:rPr>
            </w:pPr>
            <w:r w:rsidRPr="008332CC">
              <w:rPr>
                <w:rFonts w:asciiTheme="majorHAnsi" w:hAnsiTheme="majorHAnsi"/>
                <w:b/>
                <w:bCs/>
                <w:i/>
                <w:iCs/>
                <w:sz w:val="24"/>
                <w:szCs w:val="24"/>
              </w:rPr>
              <w:t xml:space="preserve">Argumentations : </w:t>
            </w:r>
            <w:r>
              <w:rPr>
                <w:rFonts w:asciiTheme="majorHAnsi" w:hAnsiTheme="majorHAnsi"/>
                <w:sz w:val="24"/>
                <w:szCs w:val="24"/>
              </w:rPr>
              <w:t>Article 41 de la loi de finances n° 2010-58 du 17 décembre 2010 portant loi de finance pour l’année 2011.</w:t>
            </w:r>
          </w:p>
        </w:tc>
        <w:tc>
          <w:tcPr>
            <w:tcW w:w="2126" w:type="dxa"/>
            <w:vAlign w:val="center"/>
          </w:tcPr>
          <w:p w:rsidR="00ED589F" w:rsidRDefault="00ED589F" w:rsidP="000C225B">
            <w:pPr>
              <w:jc w:val="center"/>
            </w:pPr>
            <w:r>
              <w:t>RAS</w:t>
            </w:r>
          </w:p>
        </w:tc>
        <w:tc>
          <w:tcPr>
            <w:tcW w:w="2126" w:type="dxa"/>
            <w:vAlign w:val="center"/>
          </w:tcPr>
          <w:p w:rsidR="00ED589F" w:rsidRDefault="00ED589F" w:rsidP="000C225B">
            <w:pPr>
              <w:jc w:val="center"/>
            </w:pPr>
            <w:r>
              <w:t>RAS</w:t>
            </w:r>
          </w:p>
        </w:tc>
      </w:tr>
      <w:tr w:rsidR="008937DE" w:rsidTr="0013298E">
        <w:trPr>
          <w:trHeight w:val="1963"/>
        </w:trPr>
        <w:tc>
          <w:tcPr>
            <w:tcW w:w="5495" w:type="dxa"/>
          </w:tcPr>
          <w:p w:rsidR="008937DE" w:rsidRDefault="008937DE" w:rsidP="008937DE">
            <w:pPr>
              <w:jc w:val="both"/>
              <w:rPr>
                <w:rFonts w:asciiTheme="majorHAnsi" w:hAnsiTheme="majorHAnsi"/>
                <w:sz w:val="24"/>
                <w:szCs w:val="24"/>
              </w:rPr>
            </w:pPr>
            <w:r>
              <w:rPr>
                <w:rFonts w:asciiTheme="majorHAnsi" w:hAnsiTheme="majorHAnsi"/>
                <w:sz w:val="24"/>
                <w:szCs w:val="24"/>
              </w:rPr>
              <w:t xml:space="preserve">provision pour créance douteuse d’un montant de 50.000 TND  se rapportant à des provisions antérieurement déduites en totalité du résultat fiscal de l’année 2009 </w:t>
            </w:r>
            <w:r w:rsidRPr="00ED589F">
              <w:rPr>
                <w:rFonts w:asciiTheme="majorHAnsi" w:hAnsiTheme="majorHAnsi"/>
                <w:sz w:val="24"/>
                <w:szCs w:val="24"/>
              </w:rPr>
              <w:t xml:space="preserve">: il s’agit d’un produit imposable. </w:t>
            </w:r>
          </w:p>
          <w:p w:rsidR="008332CC" w:rsidRPr="006B469F" w:rsidRDefault="008332CC" w:rsidP="008332CC">
            <w:pPr>
              <w:jc w:val="both"/>
              <w:rPr>
                <w:rFonts w:asciiTheme="majorHAnsi" w:hAnsiTheme="majorHAnsi"/>
                <w:sz w:val="24"/>
                <w:szCs w:val="24"/>
              </w:rPr>
            </w:pPr>
            <w:r w:rsidRPr="008332CC">
              <w:rPr>
                <w:rFonts w:asciiTheme="majorHAnsi" w:hAnsiTheme="majorHAnsi"/>
                <w:b/>
                <w:bCs/>
                <w:i/>
                <w:iCs/>
                <w:sz w:val="24"/>
                <w:szCs w:val="24"/>
              </w:rPr>
              <w:t xml:space="preserve">Argumentations : </w:t>
            </w:r>
            <w:r>
              <w:rPr>
                <w:rFonts w:asciiTheme="majorHAnsi" w:hAnsiTheme="majorHAnsi"/>
                <w:sz w:val="24"/>
                <w:szCs w:val="24"/>
              </w:rPr>
              <w:t>article 12 du code IRPP et IS.</w:t>
            </w:r>
          </w:p>
        </w:tc>
        <w:tc>
          <w:tcPr>
            <w:tcW w:w="2126" w:type="dxa"/>
            <w:vAlign w:val="center"/>
          </w:tcPr>
          <w:p w:rsidR="008937DE" w:rsidRDefault="008937DE" w:rsidP="00CE25C2">
            <w:pPr>
              <w:jc w:val="center"/>
            </w:pPr>
            <w:r>
              <w:t>RAS</w:t>
            </w:r>
          </w:p>
        </w:tc>
        <w:tc>
          <w:tcPr>
            <w:tcW w:w="2126" w:type="dxa"/>
            <w:vAlign w:val="center"/>
          </w:tcPr>
          <w:p w:rsidR="008937DE" w:rsidRDefault="008937DE" w:rsidP="00CE25C2">
            <w:pPr>
              <w:jc w:val="center"/>
            </w:pPr>
            <w:r>
              <w:t>RAS</w:t>
            </w:r>
          </w:p>
        </w:tc>
      </w:tr>
      <w:tr w:rsidR="008937DE" w:rsidTr="0013298E">
        <w:trPr>
          <w:trHeight w:val="3394"/>
        </w:trPr>
        <w:tc>
          <w:tcPr>
            <w:tcW w:w="5495" w:type="dxa"/>
          </w:tcPr>
          <w:p w:rsidR="001C1419" w:rsidRDefault="001C1419" w:rsidP="00DB4D13">
            <w:pPr>
              <w:jc w:val="both"/>
              <w:rPr>
                <w:rFonts w:asciiTheme="majorHAnsi" w:hAnsiTheme="majorHAnsi"/>
                <w:sz w:val="24"/>
                <w:szCs w:val="24"/>
              </w:rPr>
            </w:pPr>
          </w:p>
          <w:p w:rsidR="00493E4A" w:rsidRDefault="008937DE" w:rsidP="00DB4D13">
            <w:pPr>
              <w:jc w:val="both"/>
              <w:rPr>
                <w:rFonts w:asciiTheme="majorHAnsi" w:hAnsiTheme="majorHAnsi"/>
                <w:sz w:val="24"/>
                <w:szCs w:val="24"/>
              </w:rPr>
            </w:pPr>
            <w:r>
              <w:rPr>
                <w:rFonts w:asciiTheme="majorHAnsi" w:hAnsiTheme="majorHAnsi"/>
                <w:sz w:val="24"/>
                <w:szCs w:val="24"/>
              </w:rPr>
              <w:t xml:space="preserve">La prise en charge de l’impôt au lieu et a la place de la société résidente en Roumanie en contre partie du service de </w:t>
            </w:r>
            <w:r w:rsidRPr="00DB4D13">
              <w:rPr>
                <w:rFonts w:asciiTheme="majorHAnsi" w:hAnsiTheme="majorHAnsi"/>
                <w:b/>
                <w:bCs/>
                <w:i/>
                <w:iCs/>
                <w:sz w:val="24"/>
                <w:szCs w:val="24"/>
              </w:rPr>
              <w:t>l’intermédiation (commission)</w:t>
            </w:r>
            <w:r>
              <w:rPr>
                <w:rFonts w:asciiTheme="majorHAnsi" w:hAnsiTheme="majorHAnsi"/>
                <w:sz w:val="24"/>
                <w:szCs w:val="24"/>
              </w:rPr>
              <w:t xml:space="preserve"> est déductible du résultat fiscal :</w:t>
            </w:r>
            <w:r w:rsidR="00493E4A">
              <w:rPr>
                <w:rFonts w:asciiTheme="majorHAnsi" w:hAnsiTheme="majorHAnsi"/>
                <w:sz w:val="24"/>
                <w:szCs w:val="24"/>
              </w:rPr>
              <w:t xml:space="preserve"> 100.000 </w:t>
            </w:r>
            <w:r w:rsidR="00493E4A" w:rsidRPr="00922D2E">
              <w:rPr>
                <w:rFonts w:asciiTheme="majorHAnsi" w:hAnsiTheme="majorHAnsi"/>
                <w:sz w:val="24"/>
                <w:szCs w:val="24"/>
              </w:rPr>
              <w:t>x</w:t>
            </w:r>
            <w:r w:rsidR="00493E4A">
              <w:rPr>
                <w:rFonts w:asciiTheme="majorHAnsi" w:hAnsiTheme="majorHAnsi"/>
                <w:sz w:val="24"/>
                <w:szCs w:val="24"/>
              </w:rPr>
              <w:t xml:space="preserve"> 17,64% = 17.640 TND.</w:t>
            </w:r>
          </w:p>
          <w:p w:rsidR="008332CC" w:rsidRPr="008937DE" w:rsidRDefault="008937DE" w:rsidP="00F13DE6">
            <w:pPr>
              <w:jc w:val="both"/>
              <w:rPr>
                <w:rFonts w:asciiTheme="majorHAnsi" w:hAnsiTheme="majorHAnsi"/>
                <w:b/>
                <w:bCs/>
                <w:i/>
                <w:iCs/>
                <w:sz w:val="24"/>
                <w:szCs w:val="24"/>
              </w:rPr>
            </w:pPr>
            <w:r>
              <w:rPr>
                <w:rFonts w:asciiTheme="majorHAnsi" w:hAnsiTheme="majorHAnsi"/>
                <w:sz w:val="24"/>
                <w:szCs w:val="24"/>
              </w:rPr>
              <w:t xml:space="preserve"> La non déductibilité des retenues à la source prises en charge ne s’applique qu’aux retenues applicables aux </w:t>
            </w:r>
            <w:r w:rsidRPr="00DB4D13">
              <w:rPr>
                <w:rFonts w:asciiTheme="majorHAnsi" w:hAnsiTheme="majorHAnsi"/>
                <w:b/>
                <w:bCs/>
                <w:i/>
                <w:iCs/>
                <w:sz w:val="24"/>
                <w:szCs w:val="24"/>
              </w:rPr>
              <w:t>redevances</w:t>
            </w:r>
            <w:r>
              <w:rPr>
                <w:rFonts w:asciiTheme="majorHAnsi" w:hAnsiTheme="majorHAnsi"/>
                <w:sz w:val="24"/>
                <w:szCs w:val="24"/>
              </w:rPr>
              <w:t xml:space="preserve"> versées aux personnes non résidentes </w:t>
            </w:r>
            <w:r w:rsidR="00F13DE6">
              <w:rPr>
                <w:rFonts w:asciiTheme="majorHAnsi" w:hAnsiTheme="majorHAnsi"/>
                <w:sz w:val="24"/>
                <w:szCs w:val="24"/>
              </w:rPr>
              <w:t>et non</w:t>
            </w:r>
            <w:r>
              <w:rPr>
                <w:rFonts w:asciiTheme="majorHAnsi" w:hAnsiTheme="majorHAnsi"/>
                <w:sz w:val="24"/>
                <w:szCs w:val="24"/>
              </w:rPr>
              <w:t xml:space="preserve"> établies en Tunisie. </w:t>
            </w:r>
            <w:r w:rsidR="008332CC" w:rsidRPr="008332CC">
              <w:rPr>
                <w:rFonts w:asciiTheme="majorHAnsi" w:hAnsiTheme="majorHAnsi"/>
                <w:b/>
                <w:bCs/>
                <w:i/>
                <w:iCs/>
                <w:sz w:val="24"/>
                <w:szCs w:val="24"/>
              </w:rPr>
              <w:t xml:space="preserve">Argumentations : </w:t>
            </w:r>
            <w:r w:rsidR="008332CC">
              <w:rPr>
                <w:rFonts w:asciiTheme="majorHAnsi" w:hAnsiTheme="majorHAnsi"/>
                <w:sz w:val="24"/>
                <w:szCs w:val="24"/>
              </w:rPr>
              <w:t>article 14-2 du code IRPP et IS.</w:t>
            </w:r>
          </w:p>
        </w:tc>
        <w:tc>
          <w:tcPr>
            <w:tcW w:w="2126" w:type="dxa"/>
            <w:vAlign w:val="center"/>
          </w:tcPr>
          <w:p w:rsidR="008937DE" w:rsidRDefault="008937DE" w:rsidP="00CE25C2">
            <w:pPr>
              <w:jc w:val="center"/>
            </w:pPr>
            <w:r>
              <w:t>RAS</w:t>
            </w:r>
          </w:p>
        </w:tc>
        <w:tc>
          <w:tcPr>
            <w:tcW w:w="2126" w:type="dxa"/>
            <w:vAlign w:val="center"/>
          </w:tcPr>
          <w:p w:rsidR="008937DE" w:rsidRDefault="008937DE" w:rsidP="00CE25C2">
            <w:pPr>
              <w:jc w:val="center"/>
            </w:pPr>
            <w:r>
              <w:t>RAS</w:t>
            </w:r>
          </w:p>
        </w:tc>
      </w:tr>
      <w:tr w:rsidR="00C90377" w:rsidTr="0013298E">
        <w:trPr>
          <w:trHeight w:val="848"/>
        </w:trPr>
        <w:tc>
          <w:tcPr>
            <w:tcW w:w="5495" w:type="dxa"/>
            <w:vAlign w:val="center"/>
          </w:tcPr>
          <w:p w:rsidR="00C90377" w:rsidRPr="00C86E70" w:rsidRDefault="00C90377" w:rsidP="00CE25C2">
            <w:pPr>
              <w:rPr>
                <w:b/>
                <w:bCs/>
                <w:sz w:val="24"/>
                <w:szCs w:val="24"/>
              </w:rPr>
            </w:pPr>
            <w:r w:rsidRPr="00C86E70">
              <w:rPr>
                <w:rFonts w:asciiTheme="majorHAnsi" w:hAnsiTheme="majorHAnsi"/>
                <w:b/>
                <w:bCs/>
                <w:sz w:val="24"/>
                <w:szCs w:val="24"/>
              </w:rPr>
              <w:lastRenderedPageBreak/>
              <w:t>Bénéfice fiscal avant déduction des provisions</w:t>
            </w:r>
          </w:p>
        </w:tc>
        <w:tc>
          <w:tcPr>
            <w:tcW w:w="2126" w:type="dxa"/>
            <w:vAlign w:val="center"/>
          </w:tcPr>
          <w:p w:rsidR="00C90377" w:rsidRPr="00FE6366" w:rsidRDefault="000C225B" w:rsidP="00F52163">
            <w:pPr>
              <w:jc w:val="right"/>
              <w:rPr>
                <w:b/>
                <w:bCs/>
              </w:rPr>
            </w:pPr>
            <w:r>
              <w:rPr>
                <w:b/>
                <w:bCs/>
              </w:rPr>
              <w:t>1.</w:t>
            </w:r>
            <w:r w:rsidR="00F52163">
              <w:rPr>
                <w:b/>
                <w:bCs/>
              </w:rPr>
              <w:t>17</w:t>
            </w:r>
            <w:r>
              <w:rPr>
                <w:b/>
                <w:bCs/>
              </w:rPr>
              <w:t>1.470,588</w:t>
            </w:r>
          </w:p>
        </w:tc>
        <w:tc>
          <w:tcPr>
            <w:tcW w:w="2126" w:type="dxa"/>
          </w:tcPr>
          <w:p w:rsidR="00C90377" w:rsidRDefault="00C90377" w:rsidP="00CE25C2"/>
        </w:tc>
      </w:tr>
      <w:tr w:rsidR="00C90377" w:rsidTr="0013298E">
        <w:trPr>
          <w:trHeight w:val="1382"/>
        </w:trPr>
        <w:tc>
          <w:tcPr>
            <w:tcW w:w="5495" w:type="dxa"/>
            <w:vAlign w:val="center"/>
          </w:tcPr>
          <w:p w:rsidR="00C90377" w:rsidRDefault="00C90377" w:rsidP="0009033B">
            <w:pPr>
              <w:jc w:val="both"/>
              <w:rPr>
                <w:rFonts w:asciiTheme="majorHAnsi" w:hAnsiTheme="majorHAnsi"/>
                <w:sz w:val="24"/>
                <w:szCs w:val="24"/>
              </w:rPr>
            </w:pPr>
            <w:r w:rsidRPr="00922D2E">
              <w:rPr>
                <w:rFonts w:asciiTheme="majorHAnsi" w:hAnsiTheme="majorHAnsi"/>
                <w:sz w:val="24"/>
                <w:szCs w:val="24"/>
              </w:rPr>
              <w:t>A déduire :</w:t>
            </w:r>
            <w:r>
              <w:rPr>
                <w:rFonts w:asciiTheme="majorHAnsi" w:hAnsiTheme="majorHAnsi"/>
                <w:sz w:val="24"/>
                <w:szCs w:val="24"/>
              </w:rPr>
              <w:t xml:space="preserve"> </w:t>
            </w:r>
            <w:r w:rsidRPr="00922D2E">
              <w:rPr>
                <w:rFonts w:asciiTheme="majorHAnsi" w:hAnsiTheme="majorHAnsi"/>
                <w:sz w:val="24"/>
                <w:szCs w:val="24"/>
              </w:rPr>
              <w:t>Provisions au titre des actions cotées</w:t>
            </w:r>
            <w:r w:rsidR="008332CC">
              <w:rPr>
                <w:rFonts w:asciiTheme="majorHAnsi" w:hAnsiTheme="majorHAnsi"/>
                <w:sz w:val="24"/>
                <w:szCs w:val="24"/>
              </w:rPr>
              <w:t xml:space="preserve"> à la BVMT</w:t>
            </w:r>
            <w:r w:rsidR="00B52123">
              <w:rPr>
                <w:rFonts w:asciiTheme="majorHAnsi" w:hAnsiTheme="majorHAnsi"/>
                <w:sz w:val="24"/>
                <w:szCs w:val="24"/>
              </w:rPr>
              <w:t xml:space="preserve"> : limite = </w:t>
            </w:r>
            <w:r w:rsidR="00B52123" w:rsidRPr="00B52123">
              <w:t>1.</w:t>
            </w:r>
            <w:r w:rsidR="0009033B">
              <w:t>171</w:t>
            </w:r>
            <w:r w:rsidR="00B52123" w:rsidRPr="00B52123">
              <w:t>.470,588</w:t>
            </w:r>
            <w:r w:rsidR="00B52123">
              <w:rPr>
                <w:rFonts w:asciiTheme="majorHAnsi" w:hAnsiTheme="majorHAnsi"/>
                <w:sz w:val="24"/>
                <w:szCs w:val="24"/>
              </w:rPr>
              <w:t xml:space="preserve"> </w:t>
            </w:r>
            <w:r>
              <w:rPr>
                <w:rFonts w:asciiTheme="majorHAnsi" w:hAnsiTheme="majorHAnsi"/>
                <w:sz w:val="24"/>
                <w:szCs w:val="24"/>
              </w:rPr>
              <w:t xml:space="preserve"> </w:t>
            </w:r>
            <w:r w:rsidR="00B52123" w:rsidRPr="00922D2E">
              <w:rPr>
                <w:rFonts w:asciiTheme="majorHAnsi" w:hAnsiTheme="majorHAnsi"/>
                <w:sz w:val="24"/>
                <w:szCs w:val="24"/>
              </w:rPr>
              <w:t>x</w:t>
            </w:r>
            <w:r w:rsidR="00B52123">
              <w:rPr>
                <w:rFonts w:asciiTheme="majorHAnsi" w:hAnsiTheme="majorHAnsi"/>
                <w:sz w:val="24"/>
                <w:szCs w:val="24"/>
              </w:rPr>
              <w:t xml:space="preserve"> 50%</w:t>
            </w:r>
            <w:r w:rsidR="0009033B">
              <w:rPr>
                <w:rFonts w:asciiTheme="majorHAnsi" w:hAnsiTheme="majorHAnsi"/>
                <w:sz w:val="24"/>
                <w:szCs w:val="24"/>
              </w:rPr>
              <w:t xml:space="preserve"> = 585.735,294 TND</w:t>
            </w:r>
          </w:p>
          <w:p w:rsidR="008332CC" w:rsidRPr="00C86E70" w:rsidRDefault="008332CC" w:rsidP="008332CC">
            <w:pPr>
              <w:jc w:val="both"/>
              <w:rPr>
                <w:rFonts w:asciiTheme="majorHAnsi" w:hAnsiTheme="majorHAnsi"/>
                <w:sz w:val="24"/>
                <w:szCs w:val="24"/>
              </w:rPr>
            </w:pPr>
            <w:r w:rsidRPr="008332CC">
              <w:rPr>
                <w:rFonts w:asciiTheme="majorHAnsi" w:hAnsiTheme="majorHAnsi"/>
                <w:b/>
                <w:bCs/>
                <w:i/>
                <w:iCs/>
                <w:sz w:val="24"/>
                <w:szCs w:val="24"/>
              </w:rPr>
              <w:t xml:space="preserve">Argumentations : </w:t>
            </w:r>
            <w:r>
              <w:rPr>
                <w:rFonts w:asciiTheme="majorHAnsi" w:hAnsiTheme="majorHAnsi"/>
                <w:sz w:val="24"/>
                <w:szCs w:val="24"/>
              </w:rPr>
              <w:t>article 11-</w:t>
            </w:r>
            <w:proofErr w:type="spellStart"/>
            <w:r>
              <w:rPr>
                <w:rFonts w:asciiTheme="majorHAnsi" w:hAnsiTheme="majorHAnsi"/>
                <w:sz w:val="24"/>
                <w:szCs w:val="24"/>
              </w:rPr>
              <w:t>I-bis</w:t>
            </w:r>
            <w:proofErr w:type="spellEnd"/>
            <w:r>
              <w:rPr>
                <w:rFonts w:asciiTheme="majorHAnsi" w:hAnsiTheme="majorHAnsi"/>
                <w:sz w:val="24"/>
                <w:szCs w:val="24"/>
              </w:rPr>
              <w:t xml:space="preserve"> du code IRPP et IS.</w:t>
            </w:r>
          </w:p>
        </w:tc>
        <w:tc>
          <w:tcPr>
            <w:tcW w:w="2126" w:type="dxa"/>
            <w:vAlign w:val="center"/>
          </w:tcPr>
          <w:p w:rsidR="00C90377" w:rsidRDefault="00C90377" w:rsidP="00CE25C2">
            <w:pPr>
              <w:jc w:val="right"/>
              <w:rPr>
                <w:b/>
                <w:bCs/>
              </w:rPr>
            </w:pPr>
          </w:p>
        </w:tc>
        <w:tc>
          <w:tcPr>
            <w:tcW w:w="2126" w:type="dxa"/>
          </w:tcPr>
          <w:p w:rsidR="008332CC" w:rsidRDefault="008332CC" w:rsidP="00CE25C2">
            <w:pPr>
              <w:jc w:val="right"/>
            </w:pPr>
          </w:p>
          <w:p w:rsidR="00C90377" w:rsidRDefault="00C90377" w:rsidP="00CE25C2">
            <w:pPr>
              <w:jc w:val="right"/>
            </w:pPr>
            <w:r>
              <w:t>150.000,000</w:t>
            </w:r>
          </w:p>
        </w:tc>
      </w:tr>
      <w:tr w:rsidR="00C90377" w:rsidTr="0013298E">
        <w:trPr>
          <w:trHeight w:val="1310"/>
        </w:trPr>
        <w:tc>
          <w:tcPr>
            <w:tcW w:w="5495" w:type="dxa"/>
            <w:vAlign w:val="center"/>
          </w:tcPr>
          <w:p w:rsidR="00C90377" w:rsidRPr="00C86E70" w:rsidRDefault="00B52123" w:rsidP="008332CC">
            <w:pPr>
              <w:rPr>
                <w:rFonts w:asciiTheme="majorHAnsi" w:hAnsiTheme="majorHAnsi"/>
                <w:b/>
                <w:bCs/>
                <w:sz w:val="24"/>
                <w:szCs w:val="24"/>
              </w:rPr>
            </w:pPr>
            <w:r w:rsidRPr="00C86E70">
              <w:rPr>
                <w:rFonts w:asciiTheme="majorHAnsi" w:hAnsiTheme="majorHAnsi"/>
                <w:b/>
                <w:bCs/>
                <w:sz w:val="24"/>
                <w:szCs w:val="24"/>
              </w:rPr>
              <w:t xml:space="preserve">Bénéfice fiscal </w:t>
            </w:r>
            <w:r>
              <w:rPr>
                <w:rFonts w:asciiTheme="majorHAnsi" w:hAnsiTheme="majorHAnsi"/>
                <w:b/>
                <w:bCs/>
                <w:sz w:val="24"/>
                <w:szCs w:val="24"/>
              </w:rPr>
              <w:t>après</w:t>
            </w:r>
            <w:r w:rsidRPr="00C86E70">
              <w:rPr>
                <w:rFonts w:asciiTheme="majorHAnsi" w:hAnsiTheme="majorHAnsi"/>
                <w:b/>
                <w:bCs/>
                <w:sz w:val="24"/>
                <w:szCs w:val="24"/>
              </w:rPr>
              <w:t xml:space="preserve"> déduction des provisions</w:t>
            </w:r>
          </w:p>
        </w:tc>
        <w:tc>
          <w:tcPr>
            <w:tcW w:w="2126" w:type="dxa"/>
            <w:vAlign w:val="center"/>
          </w:tcPr>
          <w:p w:rsidR="00C90377" w:rsidRPr="00C86E70" w:rsidRDefault="000C225B" w:rsidP="00F52163">
            <w:pPr>
              <w:jc w:val="right"/>
              <w:rPr>
                <w:b/>
                <w:bCs/>
              </w:rPr>
            </w:pPr>
            <w:r>
              <w:rPr>
                <w:b/>
                <w:bCs/>
              </w:rPr>
              <w:t>1.</w:t>
            </w:r>
            <w:r w:rsidR="00F52163">
              <w:rPr>
                <w:b/>
                <w:bCs/>
              </w:rPr>
              <w:t>021</w:t>
            </w:r>
            <w:r>
              <w:rPr>
                <w:b/>
                <w:bCs/>
              </w:rPr>
              <w:t>.470,588</w:t>
            </w:r>
          </w:p>
        </w:tc>
        <w:tc>
          <w:tcPr>
            <w:tcW w:w="2126" w:type="dxa"/>
            <w:vAlign w:val="center"/>
          </w:tcPr>
          <w:p w:rsidR="0013298E" w:rsidRDefault="0013298E" w:rsidP="008332CC"/>
        </w:tc>
      </w:tr>
      <w:tr w:rsidR="00C90377" w:rsidTr="00CE25C2">
        <w:trPr>
          <w:trHeight w:val="408"/>
        </w:trPr>
        <w:tc>
          <w:tcPr>
            <w:tcW w:w="5495" w:type="dxa"/>
            <w:vAlign w:val="center"/>
          </w:tcPr>
          <w:p w:rsidR="00012CC4" w:rsidRDefault="00012CC4" w:rsidP="00FA6C62">
            <w:pPr>
              <w:jc w:val="both"/>
              <w:rPr>
                <w:rFonts w:asciiTheme="majorHAnsi" w:hAnsiTheme="majorHAnsi"/>
                <w:sz w:val="24"/>
                <w:szCs w:val="24"/>
              </w:rPr>
            </w:pPr>
          </w:p>
          <w:p w:rsidR="00FA6C62" w:rsidRDefault="00C90377" w:rsidP="00FA6C62">
            <w:pPr>
              <w:jc w:val="both"/>
              <w:rPr>
                <w:rFonts w:asciiTheme="majorHAnsi" w:hAnsiTheme="majorHAnsi"/>
                <w:sz w:val="24"/>
                <w:szCs w:val="24"/>
              </w:rPr>
            </w:pPr>
            <w:r w:rsidRPr="00922D2E">
              <w:rPr>
                <w:rFonts w:asciiTheme="majorHAnsi" w:hAnsiTheme="majorHAnsi"/>
                <w:sz w:val="24"/>
                <w:szCs w:val="24"/>
              </w:rPr>
              <w:t>Bénéfice fiscal base de calcul du bénéfice provenant des exportations</w:t>
            </w:r>
            <w:r w:rsidR="00FA6C62">
              <w:rPr>
                <w:rFonts w:asciiTheme="majorHAnsi" w:hAnsiTheme="majorHAnsi"/>
                <w:sz w:val="24"/>
                <w:szCs w:val="24"/>
              </w:rPr>
              <w:t xml:space="preserve"> = bénéfice fiscal hors produit exceptionnel </w:t>
            </w:r>
            <w:r w:rsidR="00FA6C62" w:rsidRPr="00922D2E">
              <w:rPr>
                <w:rFonts w:asciiTheme="majorHAnsi" w:hAnsiTheme="majorHAnsi"/>
                <w:sz w:val="24"/>
                <w:szCs w:val="24"/>
              </w:rPr>
              <w:t>x</w:t>
            </w:r>
            <w:r w:rsidR="00FA6C62">
              <w:rPr>
                <w:rFonts w:asciiTheme="majorHAnsi" w:hAnsiTheme="majorHAnsi"/>
                <w:sz w:val="24"/>
                <w:szCs w:val="24"/>
              </w:rPr>
              <w:t xml:space="preserve"> pourcentage d’export :</w:t>
            </w:r>
          </w:p>
          <w:p w:rsidR="00C90377" w:rsidRPr="00922D2E" w:rsidRDefault="00FA6C62" w:rsidP="00FA6C62">
            <w:pPr>
              <w:jc w:val="both"/>
              <w:rPr>
                <w:rFonts w:asciiTheme="majorHAnsi" w:hAnsiTheme="majorHAnsi"/>
                <w:sz w:val="24"/>
                <w:szCs w:val="24"/>
              </w:rPr>
            </w:pPr>
            <w:r>
              <w:rPr>
                <w:rFonts w:asciiTheme="majorHAnsi" w:hAnsiTheme="majorHAnsi"/>
                <w:sz w:val="24"/>
                <w:szCs w:val="24"/>
              </w:rPr>
              <w:t xml:space="preserve"> bénéfice fiscal hors produit exceptionnel</w:t>
            </w:r>
            <w:r w:rsidR="00C90377">
              <w:rPr>
                <w:rFonts w:asciiTheme="majorHAnsi" w:hAnsiTheme="majorHAnsi"/>
                <w:sz w:val="24"/>
                <w:szCs w:val="24"/>
              </w:rPr>
              <w:t xml:space="preserve"> = </w:t>
            </w:r>
            <w:r w:rsidR="00C90377" w:rsidRPr="00922D2E">
              <w:rPr>
                <w:rFonts w:asciiTheme="majorHAnsi" w:hAnsiTheme="majorHAnsi"/>
                <w:sz w:val="24"/>
                <w:szCs w:val="24"/>
              </w:rPr>
              <w:t>Bénéfice fiscal</w:t>
            </w:r>
            <w:r w:rsidR="00C90377">
              <w:rPr>
                <w:rFonts w:asciiTheme="majorHAnsi" w:hAnsiTheme="majorHAnsi"/>
                <w:sz w:val="24"/>
                <w:szCs w:val="24"/>
              </w:rPr>
              <w:t xml:space="preserve"> redressé</w:t>
            </w:r>
            <w:r w:rsidR="00C90377" w:rsidRPr="00922D2E">
              <w:rPr>
                <w:rFonts w:asciiTheme="majorHAnsi" w:hAnsiTheme="majorHAnsi"/>
                <w:sz w:val="24"/>
                <w:szCs w:val="24"/>
              </w:rPr>
              <w:t xml:space="preserve"> – (plus value de cession d’un terrain</w:t>
            </w:r>
            <w:r w:rsidR="00B52123">
              <w:rPr>
                <w:rFonts w:asciiTheme="majorHAnsi" w:hAnsiTheme="majorHAnsi"/>
                <w:sz w:val="24"/>
                <w:szCs w:val="24"/>
              </w:rPr>
              <w:t xml:space="preserve"> </w:t>
            </w:r>
            <w:r w:rsidR="00C90377" w:rsidRPr="00922D2E">
              <w:rPr>
                <w:rFonts w:asciiTheme="majorHAnsi" w:hAnsiTheme="majorHAnsi"/>
                <w:sz w:val="24"/>
                <w:szCs w:val="24"/>
              </w:rPr>
              <w:t>+</w:t>
            </w:r>
            <w:r>
              <w:rPr>
                <w:rFonts w:asciiTheme="majorHAnsi" w:hAnsiTheme="majorHAnsi"/>
                <w:sz w:val="24"/>
                <w:szCs w:val="24"/>
              </w:rPr>
              <w:t xml:space="preserve"> </w:t>
            </w:r>
            <w:r w:rsidRPr="00002B64">
              <w:rPr>
                <w:rFonts w:asciiTheme="majorHAnsi" w:hAnsiTheme="majorHAnsi"/>
                <w:sz w:val="24"/>
                <w:szCs w:val="24"/>
              </w:rPr>
              <w:t>dividendes perçus de l’étranger</w:t>
            </w:r>
            <w:r>
              <w:rPr>
                <w:rFonts w:asciiTheme="majorHAnsi" w:hAnsiTheme="majorHAnsi"/>
                <w:sz w:val="24"/>
                <w:szCs w:val="24"/>
              </w:rPr>
              <w:t xml:space="preserve"> +</w:t>
            </w:r>
            <w:r w:rsidR="00C90377" w:rsidRPr="00922D2E">
              <w:rPr>
                <w:rFonts w:asciiTheme="majorHAnsi" w:hAnsiTheme="majorHAnsi"/>
                <w:sz w:val="24"/>
                <w:szCs w:val="24"/>
              </w:rPr>
              <w:t xml:space="preserve"> plus value de cession des </w:t>
            </w:r>
            <w:r w:rsidRPr="00922D2E">
              <w:rPr>
                <w:rFonts w:asciiTheme="majorHAnsi" w:hAnsiTheme="majorHAnsi"/>
                <w:sz w:val="24"/>
                <w:szCs w:val="24"/>
              </w:rPr>
              <w:t>actions)</w:t>
            </w:r>
          </w:p>
          <w:p w:rsidR="00C90377" w:rsidRPr="00922D2E" w:rsidRDefault="00B52123" w:rsidP="00F52163">
            <w:pPr>
              <w:jc w:val="both"/>
              <w:rPr>
                <w:rFonts w:asciiTheme="majorHAnsi" w:hAnsiTheme="majorHAnsi"/>
                <w:sz w:val="24"/>
                <w:szCs w:val="24"/>
              </w:rPr>
            </w:pPr>
            <w:r w:rsidRPr="00B52123">
              <w:rPr>
                <w:sz w:val="24"/>
                <w:szCs w:val="24"/>
              </w:rPr>
              <w:t>1.</w:t>
            </w:r>
            <w:r w:rsidR="00F52163">
              <w:rPr>
                <w:sz w:val="24"/>
                <w:szCs w:val="24"/>
              </w:rPr>
              <w:t>02</w:t>
            </w:r>
            <w:r w:rsidRPr="00B52123">
              <w:rPr>
                <w:sz w:val="24"/>
                <w:szCs w:val="24"/>
              </w:rPr>
              <w:t>1.470,588</w:t>
            </w:r>
            <w:r>
              <w:rPr>
                <w:b/>
                <w:bCs/>
              </w:rPr>
              <w:t xml:space="preserve"> </w:t>
            </w:r>
            <w:r w:rsidR="00C90377" w:rsidRPr="00922D2E">
              <w:rPr>
                <w:rFonts w:asciiTheme="majorHAnsi" w:hAnsiTheme="majorHAnsi"/>
                <w:sz w:val="24"/>
                <w:szCs w:val="24"/>
              </w:rPr>
              <w:t>– (</w:t>
            </w:r>
            <w:r>
              <w:rPr>
                <w:rFonts w:asciiTheme="majorHAnsi" w:hAnsiTheme="majorHAnsi"/>
              </w:rPr>
              <w:t xml:space="preserve">160.000,000 </w:t>
            </w:r>
            <w:r w:rsidR="00C90377" w:rsidRPr="00922D2E">
              <w:rPr>
                <w:rFonts w:asciiTheme="majorHAnsi" w:hAnsiTheme="majorHAnsi"/>
                <w:sz w:val="24"/>
                <w:szCs w:val="24"/>
              </w:rPr>
              <w:t>+</w:t>
            </w:r>
            <w:r w:rsidR="00FA6C62">
              <w:rPr>
                <w:rFonts w:asciiTheme="majorHAnsi" w:hAnsiTheme="majorHAnsi"/>
                <w:sz w:val="24"/>
                <w:szCs w:val="24"/>
              </w:rPr>
              <w:t xml:space="preserve"> 76.470,588 +</w:t>
            </w:r>
            <w:r w:rsidR="00C90377" w:rsidRPr="00922D2E">
              <w:rPr>
                <w:rFonts w:asciiTheme="majorHAnsi" w:hAnsiTheme="majorHAnsi"/>
                <w:sz w:val="24"/>
                <w:szCs w:val="24"/>
              </w:rPr>
              <w:t xml:space="preserve"> 56.000) =  </w:t>
            </w:r>
            <w:r w:rsidR="00F52163">
              <w:rPr>
                <w:rFonts w:asciiTheme="majorHAnsi" w:hAnsiTheme="majorHAnsi"/>
                <w:sz w:val="24"/>
                <w:szCs w:val="24"/>
              </w:rPr>
              <w:t>729</w:t>
            </w:r>
            <w:r w:rsidR="00FA6C62">
              <w:rPr>
                <w:rFonts w:asciiTheme="majorHAnsi" w:hAnsiTheme="majorHAnsi"/>
                <w:sz w:val="24"/>
                <w:szCs w:val="24"/>
              </w:rPr>
              <w:t>.000,000 TND</w:t>
            </w:r>
            <w:r w:rsidR="00C90377" w:rsidRPr="00922D2E">
              <w:rPr>
                <w:rFonts w:asciiTheme="majorHAnsi" w:hAnsiTheme="majorHAnsi"/>
                <w:sz w:val="24"/>
                <w:szCs w:val="24"/>
              </w:rPr>
              <w:t xml:space="preserve">   </w:t>
            </w:r>
            <w:r w:rsidR="00C90377" w:rsidRPr="00922D2E">
              <w:rPr>
                <w:rFonts w:asciiTheme="majorHAnsi" w:hAnsiTheme="majorHAnsi"/>
                <w:sz w:val="24"/>
                <w:szCs w:val="24"/>
              </w:rPr>
              <w:tab/>
            </w:r>
            <w:r w:rsidR="00C90377" w:rsidRPr="00922D2E">
              <w:rPr>
                <w:rFonts w:asciiTheme="majorHAnsi" w:hAnsiTheme="majorHAnsi"/>
                <w:sz w:val="24"/>
                <w:szCs w:val="24"/>
              </w:rPr>
              <w:tab/>
            </w:r>
          </w:p>
          <w:p w:rsidR="00C90377" w:rsidRPr="00922D2E" w:rsidRDefault="00C90377" w:rsidP="00CE25C2">
            <w:pPr>
              <w:jc w:val="both"/>
              <w:rPr>
                <w:rFonts w:asciiTheme="majorHAnsi" w:hAnsiTheme="majorHAnsi"/>
                <w:sz w:val="24"/>
                <w:szCs w:val="24"/>
              </w:rPr>
            </w:pPr>
            <w:r w:rsidRPr="00922D2E">
              <w:rPr>
                <w:rFonts w:asciiTheme="majorHAnsi" w:hAnsiTheme="majorHAnsi"/>
                <w:sz w:val="24"/>
                <w:szCs w:val="24"/>
              </w:rPr>
              <w:t>A déduire bénéfice provenant des exportations</w:t>
            </w:r>
            <w:r>
              <w:rPr>
                <w:rFonts w:asciiTheme="majorHAnsi" w:hAnsiTheme="majorHAnsi"/>
                <w:sz w:val="24"/>
                <w:szCs w:val="24"/>
              </w:rPr>
              <w:t> :</w:t>
            </w:r>
            <w:r w:rsidRPr="00922D2E">
              <w:rPr>
                <w:rFonts w:asciiTheme="majorHAnsi" w:hAnsiTheme="majorHAnsi"/>
                <w:sz w:val="24"/>
                <w:szCs w:val="24"/>
              </w:rPr>
              <w:t xml:space="preserve"> </w:t>
            </w:r>
          </w:p>
          <w:p w:rsidR="00C90377" w:rsidRPr="00922D2E" w:rsidRDefault="00C90377" w:rsidP="00CE25C2">
            <w:pPr>
              <w:jc w:val="both"/>
              <w:rPr>
                <w:rFonts w:asciiTheme="majorHAnsi" w:hAnsiTheme="majorHAnsi"/>
                <w:sz w:val="24"/>
                <w:szCs w:val="24"/>
              </w:rPr>
            </w:pPr>
            <w:r w:rsidRPr="00922D2E">
              <w:rPr>
                <w:rFonts w:asciiTheme="majorHAnsi" w:hAnsiTheme="majorHAnsi"/>
                <w:sz w:val="24"/>
                <w:szCs w:val="24"/>
              </w:rPr>
              <w:t>(CA export/CA global) x bénéfice fiscal base de calcul du bénéfice provenant des exportations</w:t>
            </w:r>
            <w:r>
              <w:rPr>
                <w:rFonts w:asciiTheme="majorHAnsi" w:hAnsiTheme="majorHAnsi"/>
                <w:sz w:val="24"/>
                <w:szCs w:val="24"/>
              </w:rPr>
              <w:t xml:space="preserve"> =</w:t>
            </w:r>
            <w:r w:rsidRPr="00922D2E">
              <w:rPr>
                <w:rFonts w:asciiTheme="majorHAnsi" w:hAnsiTheme="majorHAnsi"/>
                <w:sz w:val="24"/>
                <w:szCs w:val="24"/>
              </w:rPr>
              <w:t xml:space="preserve"> </w:t>
            </w:r>
          </w:p>
          <w:p w:rsidR="0013298E" w:rsidRDefault="00F52163" w:rsidP="00F52163">
            <w:pPr>
              <w:jc w:val="both"/>
              <w:rPr>
                <w:rFonts w:asciiTheme="majorHAnsi" w:hAnsiTheme="majorHAnsi"/>
                <w:sz w:val="24"/>
                <w:szCs w:val="24"/>
              </w:rPr>
            </w:pPr>
            <w:r>
              <w:rPr>
                <w:rFonts w:asciiTheme="majorHAnsi" w:hAnsiTheme="majorHAnsi"/>
                <w:sz w:val="24"/>
                <w:szCs w:val="24"/>
              </w:rPr>
              <w:t>729</w:t>
            </w:r>
            <w:r w:rsidR="00DB4D13">
              <w:rPr>
                <w:rFonts w:asciiTheme="majorHAnsi" w:hAnsiTheme="majorHAnsi"/>
                <w:sz w:val="24"/>
                <w:szCs w:val="24"/>
              </w:rPr>
              <w:t xml:space="preserve">.000,000 </w:t>
            </w:r>
            <w:r w:rsidR="00DB4D13" w:rsidRPr="00922D2E">
              <w:rPr>
                <w:rFonts w:asciiTheme="majorHAnsi" w:hAnsiTheme="majorHAnsi"/>
                <w:sz w:val="24"/>
                <w:szCs w:val="24"/>
              </w:rPr>
              <w:t>x</w:t>
            </w:r>
            <w:r w:rsidR="00DB4D13">
              <w:rPr>
                <w:rFonts w:asciiTheme="majorHAnsi" w:hAnsiTheme="majorHAnsi"/>
                <w:sz w:val="24"/>
                <w:szCs w:val="24"/>
              </w:rPr>
              <w:t xml:space="preserve"> </w:t>
            </w:r>
            <w:r w:rsidR="00C90377" w:rsidRPr="00922D2E">
              <w:rPr>
                <w:rFonts w:asciiTheme="majorHAnsi" w:hAnsiTheme="majorHAnsi"/>
                <w:sz w:val="24"/>
                <w:szCs w:val="24"/>
              </w:rPr>
              <w:t>1.</w:t>
            </w:r>
            <w:r w:rsidR="00FA6C62">
              <w:rPr>
                <w:rFonts w:asciiTheme="majorHAnsi" w:hAnsiTheme="majorHAnsi"/>
                <w:sz w:val="24"/>
                <w:szCs w:val="24"/>
              </w:rPr>
              <w:t>0</w:t>
            </w:r>
            <w:r w:rsidR="00C90377" w:rsidRPr="00922D2E">
              <w:rPr>
                <w:rFonts w:asciiTheme="majorHAnsi" w:hAnsiTheme="majorHAnsi"/>
                <w:sz w:val="24"/>
                <w:szCs w:val="24"/>
              </w:rPr>
              <w:t>00.000 /</w:t>
            </w:r>
            <w:r w:rsidR="00FA6C62">
              <w:rPr>
                <w:rFonts w:asciiTheme="majorHAnsi" w:hAnsiTheme="majorHAnsi"/>
                <w:sz w:val="24"/>
                <w:szCs w:val="24"/>
              </w:rPr>
              <w:t xml:space="preserve"> 4</w:t>
            </w:r>
            <w:r w:rsidR="00C90377" w:rsidRPr="00922D2E">
              <w:rPr>
                <w:rFonts w:asciiTheme="majorHAnsi" w:hAnsiTheme="majorHAnsi"/>
                <w:sz w:val="24"/>
                <w:szCs w:val="24"/>
              </w:rPr>
              <w:t>.</w:t>
            </w:r>
            <w:r w:rsidR="00FA6C62">
              <w:rPr>
                <w:rFonts w:asciiTheme="majorHAnsi" w:hAnsiTheme="majorHAnsi"/>
                <w:sz w:val="24"/>
                <w:szCs w:val="24"/>
              </w:rPr>
              <w:t>0</w:t>
            </w:r>
            <w:r w:rsidR="00C90377" w:rsidRPr="00922D2E">
              <w:rPr>
                <w:rFonts w:asciiTheme="majorHAnsi" w:hAnsiTheme="majorHAnsi"/>
                <w:sz w:val="24"/>
                <w:szCs w:val="24"/>
              </w:rPr>
              <w:t>00.000</w:t>
            </w:r>
            <w:r w:rsidR="00FA6C62">
              <w:rPr>
                <w:rFonts w:asciiTheme="majorHAnsi" w:hAnsiTheme="majorHAnsi"/>
                <w:sz w:val="24"/>
                <w:szCs w:val="24"/>
              </w:rPr>
              <w:t xml:space="preserve"> </w:t>
            </w:r>
            <w:r w:rsidR="00C90377" w:rsidRPr="00922D2E">
              <w:rPr>
                <w:rFonts w:asciiTheme="majorHAnsi" w:hAnsiTheme="majorHAnsi"/>
                <w:sz w:val="24"/>
                <w:szCs w:val="24"/>
              </w:rPr>
              <w:t xml:space="preserve"> = </w:t>
            </w:r>
            <w:r>
              <w:rPr>
                <w:rFonts w:asciiTheme="majorHAnsi" w:hAnsiTheme="majorHAnsi"/>
                <w:sz w:val="24"/>
                <w:szCs w:val="24"/>
              </w:rPr>
              <w:t>182</w:t>
            </w:r>
            <w:r w:rsidR="00DB4D13">
              <w:rPr>
                <w:rFonts w:asciiTheme="majorHAnsi" w:hAnsiTheme="majorHAnsi"/>
                <w:sz w:val="24"/>
                <w:szCs w:val="24"/>
              </w:rPr>
              <w:t>.250,000 TND</w:t>
            </w:r>
            <w:r w:rsidR="00EE7D59">
              <w:rPr>
                <w:rFonts w:asciiTheme="majorHAnsi" w:hAnsiTheme="majorHAnsi"/>
                <w:sz w:val="24"/>
                <w:szCs w:val="24"/>
              </w:rPr>
              <w:t xml:space="preserve"> et ce </w:t>
            </w:r>
            <w:r w:rsidR="00012CC4">
              <w:rPr>
                <w:rFonts w:asciiTheme="majorHAnsi" w:hAnsiTheme="majorHAnsi"/>
                <w:sz w:val="24"/>
                <w:szCs w:val="24"/>
              </w:rPr>
              <w:t>nonobstant</w:t>
            </w:r>
            <w:r w:rsidR="00EE7D59">
              <w:rPr>
                <w:rFonts w:asciiTheme="majorHAnsi" w:hAnsiTheme="majorHAnsi"/>
                <w:sz w:val="24"/>
                <w:szCs w:val="24"/>
              </w:rPr>
              <w:t xml:space="preserve"> le minimum d’impôt prévu par l’article 12 </w:t>
            </w:r>
            <w:r w:rsidR="00EE7D59" w:rsidRPr="00DB4D13">
              <w:rPr>
                <w:rFonts w:asciiTheme="majorHAnsi" w:hAnsiTheme="majorHAnsi"/>
                <w:sz w:val="24"/>
                <w:szCs w:val="24"/>
              </w:rPr>
              <w:t xml:space="preserve"> de la loi 89-114 du 30/12/1989</w:t>
            </w:r>
            <w:r w:rsidR="00EE7D59">
              <w:rPr>
                <w:rFonts w:asciiTheme="majorHAnsi" w:hAnsiTheme="majorHAnsi"/>
                <w:sz w:val="24"/>
                <w:szCs w:val="24"/>
              </w:rPr>
              <w:t xml:space="preserve"> portant promulgation d</w:t>
            </w:r>
            <w:r w:rsidR="00012CC4">
              <w:rPr>
                <w:rFonts w:asciiTheme="majorHAnsi" w:hAnsiTheme="majorHAnsi"/>
                <w:sz w:val="24"/>
                <w:szCs w:val="24"/>
              </w:rPr>
              <w:t>u</w:t>
            </w:r>
            <w:r w:rsidR="00EE7D59">
              <w:rPr>
                <w:rFonts w:asciiTheme="majorHAnsi" w:hAnsiTheme="majorHAnsi"/>
                <w:sz w:val="24"/>
                <w:szCs w:val="24"/>
              </w:rPr>
              <w:t xml:space="preserve"> code IRPP et d’IS.  </w:t>
            </w:r>
          </w:p>
          <w:p w:rsidR="0013298E" w:rsidRDefault="0013298E" w:rsidP="00DB4D13">
            <w:pPr>
              <w:jc w:val="both"/>
              <w:rPr>
                <w:rFonts w:asciiTheme="majorHAnsi" w:hAnsiTheme="majorHAnsi"/>
                <w:sz w:val="24"/>
                <w:szCs w:val="24"/>
              </w:rPr>
            </w:pPr>
            <w:r w:rsidRPr="008332CC">
              <w:rPr>
                <w:rFonts w:asciiTheme="majorHAnsi" w:hAnsiTheme="majorHAnsi"/>
                <w:b/>
                <w:bCs/>
                <w:i/>
                <w:iCs/>
                <w:sz w:val="24"/>
                <w:szCs w:val="24"/>
              </w:rPr>
              <w:t xml:space="preserve">Argumentations : </w:t>
            </w:r>
            <w:r>
              <w:rPr>
                <w:rFonts w:asciiTheme="majorHAnsi" w:hAnsiTheme="majorHAnsi"/>
                <w:sz w:val="24"/>
                <w:szCs w:val="24"/>
              </w:rPr>
              <w:t>article 11-</w:t>
            </w:r>
            <w:proofErr w:type="spellStart"/>
            <w:r>
              <w:rPr>
                <w:rFonts w:asciiTheme="majorHAnsi" w:hAnsiTheme="majorHAnsi"/>
                <w:sz w:val="24"/>
                <w:szCs w:val="24"/>
              </w:rPr>
              <w:t>I-bis</w:t>
            </w:r>
            <w:proofErr w:type="spellEnd"/>
            <w:r>
              <w:rPr>
                <w:rFonts w:asciiTheme="majorHAnsi" w:hAnsiTheme="majorHAnsi"/>
                <w:sz w:val="24"/>
                <w:szCs w:val="24"/>
              </w:rPr>
              <w:t xml:space="preserve"> et article 48-VII </w:t>
            </w:r>
            <w:proofErr w:type="spellStart"/>
            <w:r>
              <w:rPr>
                <w:rFonts w:asciiTheme="majorHAnsi" w:hAnsiTheme="majorHAnsi"/>
                <w:sz w:val="24"/>
                <w:szCs w:val="24"/>
              </w:rPr>
              <w:t>decies</w:t>
            </w:r>
            <w:proofErr w:type="spellEnd"/>
            <w:r>
              <w:rPr>
                <w:rFonts w:asciiTheme="majorHAnsi" w:hAnsiTheme="majorHAnsi"/>
                <w:sz w:val="24"/>
                <w:szCs w:val="24"/>
              </w:rPr>
              <w:t xml:space="preserve"> du code IRPP et IS.</w:t>
            </w:r>
          </w:p>
          <w:p w:rsidR="00EE7D59" w:rsidRDefault="0013298E" w:rsidP="00DB4D13">
            <w:pPr>
              <w:jc w:val="both"/>
              <w:rPr>
                <w:rFonts w:asciiTheme="majorHAnsi" w:hAnsiTheme="majorHAnsi"/>
                <w:sz w:val="24"/>
                <w:szCs w:val="24"/>
              </w:rPr>
            </w:pPr>
            <w:r w:rsidRPr="0013298E">
              <w:rPr>
                <w:rFonts w:asciiTheme="majorHAnsi" w:hAnsiTheme="majorHAnsi"/>
                <w:b/>
                <w:bCs/>
                <w:i/>
                <w:iCs/>
                <w:sz w:val="24"/>
                <w:szCs w:val="24"/>
              </w:rPr>
              <w:t>Remarque :</w:t>
            </w:r>
            <w:r>
              <w:rPr>
                <w:rFonts w:asciiTheme="majorHAnsi" w:hAnsiTheme="majorHAnsi"/>
                <w:sz w:val="24"/>
                <w:szCs w:val="24"/>
              </w:rPr>
              <w:t xml:space="preserve"> A partir de 2008 les revenus et bénéfices exceptionnels liés à l’activité principale des entreprises sont déductibles dans les mêmes limites et conditions prévues par la législation en vigueur pour les revenus et bénéfices provenant de l’exploitation</w:t>
            </w:r>
            <w:r w:rsidR="00EE7D59">
              <w:rPr>
                <w:rFonts w:asciiTheme="majorHAnsi" w:hAnsiTheme="majorHAnsi"/>
                <w:sz w:val="24"/>
                <w:szCs w:val="24"/>
              </w:rPr>
              <w:t>. Il s’agit :</w:t>
            </w:r>
          </w:p>
          <w:p w:rsidR="00EE7D59" w:rsidRDefault="00EE7D59" w:rsidP="00DB4D13">
            <w:pPr>
              <w:jc w:val="both"/>
              <w:rPr>
                <w:rFonts w:asciiTheme="majorHAnsi" w:hAnsiTheme="majorHAnsi"/>
                <w:sz w:val="24"/>
                <w:szCs w:val="24"/>
              </w:rPr>
            </w:pPr>
            <w:r w:rsidRPr="00EE7D59">
              <w:rPr>
                <w:rFonts w:asciiTheme="majorHAnsi" w:hAnsiTheme="majorHAnsi"/>
                <w:b/>
                <w:bCs/>
                <w:i/>
                <w:iCs/>
                <w:sz w:val="24"/>
                <w:szCs w:val="24"/>
              </w:rPr>
              <w:t>-1-</w:t>
            </w:r>
            <w:r>
              <w:rPr>
                <w:rFonts w:asciiTheme="majorHAnsi" w:hAnsiTheme="majorHAnsi"/>
                <w:sz w:val="24"/>
                <w:szCs w:val="24"/>
              </w:rPr>
              <w:t>des primes d’investissement, des primes de mise à niveau et des primes accordées dans le cadre de l’encouragement à l’exportation.</w:t>
            </w:r>
          </w:p>
          <w:p w:rsidR="009611A3" w:rsidRPr="00B62D24" w:rsidRDefault="00EE7D59" w:rsidP="009611A3">
            <w:pPr>
              <w:jc w:val="both"/>
              <w:rPr>
                <w:rFonts w:asciiTheme="majorHAnsi" w:hAnsiTheme="majorHAnsi"/>
                <w:sz w:val="24"/>
                <w:szCs w:val="24"/>
              </w:rPr>
            </w:pPr>
            <w:r w:rsidRPr="00EE7D59">
              <w:rPr>
                <w:rFonts w:asciiTheme="majorHAnsi" w:hAnsiTheme="majorHAnsi"/>
                <w:b/>
                <w:bCs/>
                <w:i/>
                <w:iCs/>
                <w:sz w:val="24"/>
                <w:szCs w:val="24"/>
              </w:rPr>
              <w:t>-2-</w:t>
            </w:r>
            <w:r w:rsidR="009611A3" w:rsidRPr="00B62D24">
              <w:rPr>
                <w:rFonts w:asciiTheme="majorHAnsi" w:hAnsiTheme="majorHAnsi"/>
                <w:sz w:val="24"/>
                <w:szCs w:val="24"/>
              </w:rPr>
              <w:t xml:space="preserve"> la plus-value provenant de la cession des éléments de l’actif immobilise </w:t>
            </w:r>
            <w:r w:rsidR="00B01B26" w:rsidRPr="00B62D24">
              <w:rPr>
                <w:rFonts w:asciiTheme="majorHAnsi" w:hAnsiTheme="majorHAnsi"/>
                <w:sz w:val="24"/>
                <w:szCs w:val="24"/>
              </w:rPr>
              <w:t>à</w:t>
            </w:r>
            <w:r w:rsidR="009611A3" w:rsidRPr="00B62D24">
              <w:rPr>
                <w:rFonts w:asciiTheme="majorHAnsi" w:hAnsiTheme="majorHAnsi"/>
                <w:sz w:val="24"/>
                <w:szCs w:val="24"/>
              </w:rPr>
              <w:t xml:space="preserve"> l’exception des</w:t>
            </w:r>
            <w:r w:rsidR="009611A3">
              <w:rPr>
                <w:rFonts w:asciiTheme="majorHAnsi" w:hAnsiTheme="majorHAnsi"/>
                <w:sz w:val="24"/>
                <w:szCs w:val="24"/>
              </w:rPr>
              <w:t xml:space="preserve"> </w:t>
            </w:r>
            <w:r w:rsidR="009611A3" w:rsidRPr="00B62D24">
              <w:rPr>
                <w:rFonts w:asciiTheme="majorHAnsi" w:hAnsiTheme="majorHAnsi"/>
                <w:sz w:val="24"/>
                <w:szCs w:val="24"/>
              </w:rPr>
              <w:t>immeubles bâtis, des terrains nus et des fonds de commerce.</w:t>
            </w:r>
          </w:p>
          <w:p w:rsidR="009611A3" w:rsidRPr="00B62D24" w:rsidRDefault="009611A3" w:rsidP="009611A3">
            <w:pPr>
              <w:jc w:val="both"/>
              <w:rPr>
                <w:rFonts w:asciiTheme="majorHAnsi" w:hAnsiTheme="majorHAnsi"/>
                <w:sz w:val="24"/>
                <w:szCs w:val="24"/>
              </w:rPr>
            </w:pPr>
            <w:r w:rsidRPr="00B62D24">
              <w:rPr>
                <w:rFonts w:asciiTheme="majorHAnsi" w:hAnsiTheme="majorHAnsi"/>
                <w:sz w:val="24"/>
                <w:szCs w:val="24"/>
              </w:rPr>
              <w:t>La plus-value provenant de la cession des éléments d’actif immobilises de l’entreprise</w:t>
            </w:r>
            <w:r>
              <w:rPr>
                <w:rFonts w:asciiTheme="majorHAnsi" w:hAnsiTheme="majorHAnsi"/>
                <w:sz w:val="24"/>
                <w:szCs w:val="24"/>
              </w:rPr>
              <w:t xml:space="preserve"> </w:t>
            </w:r>
            <w:r w:rsidRPr="00B62D24">
              <w:rPr>
                <w:rFonts w:asciiTheme="majorHAnsi" w:hAnsiTheme="majorHAnsi"/>
                <w:sz w:val="24"/>
                <w:szCs w:val="24"/>
              </w:rPr>
              <w:t xml:space="preserve">exportatrice bénéficie de la mesure dans le cas ou l’opération de </w:t>
            </w:r>
            <w:r w:rsidRPr="00B62D24">
              <w:rPr>
                <w:rFonts w:asciiTheme="majorHAnsi" w:hAnsiTheme="majorHAnsi"/>
                <w:sz w:val="24"/>
                <w:szCs w:val="24"/>
              </w:rPr>
              <w:lastRenderedPageBreak/>
              <w:t>cession des éléments a lieu en</w:t>
            </w:r>
            <w:r>
              <w:rPr>
                <w:rFonts w:asciiTheme="majorHAnsi" w:hAnsiTheme="majorHAnsi"/>
                <w:sz w:val="24"/>
                <w:szCs w:val="24"/>
              </w:rPr>
              <w:t xml:space="preserve"> </w:t>
            </w:r>
            <w:r w:rsidRPr="00B62D24">
              <w:rPr>
                <w:rFonts w:asciiTheme="majorHAnsi" w:hAnsiTheme="majorHAnsi"/>
                <w:sz w:val="24"/>
                <w:szCs w:val="24"/>
              </w:rPr>
              <w:t>dehors de la Tunisie ou au profit des entreprises totalement exportatrices.</w:t>
            </w:r>
          </w:p>
          <w:p w:rsidR="00EE7D59" w:rsidRDefault="00EE7D59" w:rsidP="0080588F">
            <w:pPr>
              <w:jc w:val="both"/>
              <w:rPr>
                <w:rFonts w:asciiTheme="majorHAnsi" w:hAnsiTheme="majorHAnsi"/>
                <w:sz w:val="24"/>
                <w:szCs w:val="24"/>
              </w:rPr>
            </w:pPr>
            <w:r w:rsidRPr="00EE7D59">
              <w:rPr>
                <w:rFonts w:asciiTheme="majorHAnsi" w:hAnsiTheme="majorHAnsi"/>
                <w:b/>
                <w:bCs/>
                <w:i/>
                <w:iCs/>
                <w:sz w:val="24"/>
                <w:szCs w:val="24"/>
              </w:rPr>
              <w:t>-3-</w:t>
            </w:r>
            <w:r>
              <w:rPr>
                <w:rFonts w:asciiTheme="majorHAnsi" w:hAnsiTheme="majorHAnsi"/>
                <w:sz w:val="24"/>
                <w:szCs w:val="24"/>
              </w:rPr>
              <w:t>des gains de change relatifs aux ventes et aux acquisitions réalisées par les entreprises dans le cadre de l’exercice de l’activité principale.</w:t>
            </w:r>
          </w:p>
          <w:p w:rsidR="009611A3" w:rsidRDefault="00EE7D59" w:rsidP="00DB4D13">
            <w:pPr>
              <w:jc w:val="both"/>
              <w:rPr>
                <w:rFonts w:asciiTheme="majorHAnsi" w:hAnsiTheme="majorHAnsi"/>
                <w:sz w:val="24"/>
                <w:szCs w:val="24"/>
              </w:rPr>
            </w:pPr>
            <w:r w:rsidRPr="00EE7D59">
              <w:rPr>
                <w:rFonts w:asciiTheme="majorHAnsi" w:hAnsiTheme="majorHAnsi"/>
                <w:b/>
                <w:bCs/>
                <w:i/>
                <w:iCs/>
                <w:sz w:val="24"/>
                <w:szCs w:val="24"/>
              </w:rPr>
              <w:t>-4-</w:t>
            </w:r>
            <w:r>
              <w:rPr>
                <w:rFonts w:asciiTheme="majorHAnsi" w:hAnsiTheme="majorHAnsi"/>
                <w:sz w:val="24"/>
                <w:szCs w:val="24"/>
              </w:rPr>
              <w:t xml:space="preserve"> du bénéfice de l’abandon de créances</w:t>
            </w:r>
            <w:r w:rsidR="00C90377" w:rsidRPr="00922D2E">
              <w:rPr>
                <w:rFonts w:asciiTheme="majorHAnsi" w:hAnsiTheme="majorHAnsi"/>
                <w:sz w:val="24"/>
                <w:szCs w:val="24"/>
              </w:rPr>
              <w:tab/>
            </w:r>
          </w:p>
          <w:p w:rsidR="00C90377" w:rsidRPr="009611A3" w:rsidRDefault="009611A3" w:rsidP="0080588F">
            <w:pPr>
              <w:tabs>
                <w:tab w:val="left" w:pos="284"/>
              </w:tabs>
              <w:jc w:val="both"/>
              <w:rPr>
                <w:rFonts w:asciiTheme="majorHAnsi" w:hAnsiTheme="majorHAnsi"/>
                <w:sz w:val="24"/>
                <w:szCs w:val="24"/>
              </w:rPr>
            </w:pPr>
            <w:r w:rsidRPr="009611A3">
              <w:rPr>
                <w:rFonts w:asciiTheme="majorHAnsi" w:hAnsiTheme="majorHAnsi"/>
                <w:b/>
                <w:bCs/>
                <w:sz w:val="24"/>
                <w:szCs w:val="24"/>
              </w:rPr>
              <w:t>-5-</w:t>
            </w:r>
            <w:r>
              <w:rPr>
                <w:rFonts w:asciiTheme="majorHAnsi" w:hAnsiTheme="majorHAnsi"/>
                <w:sz w:val="24"/>
                <w:szCs w:val="24"/>
              </w:rPr>
              <w:t xml:space="preserve"> </w:t>
            </w:r>
            <w:r w:rsidRPr="009611A3">
              <w:rPr>
                <w:rFonts w:asciiTheme="majorHAnsi" w:hAnsiTheme="majorHAnsi"/>
                <w:sz w:val="24"/>
                <w:szCs w:val="24"/>
              </w:rPr>
              <w:t xml:space="preserve">Les primes reçues dans le cadre des interventions du fonds national de l’emploi. </w:t>
            </w:r>
            <w:r w:rsidRPr="0080588F">
              <w:rPr>
                <w:rFonts w:asciiTheme="majorHAnsi" w:hAnsiTheme="majorHAnsi"/>
                <w:sz w:val="20"/>
                <w:szCs w:val="20"/>
              </w:rPr>
              <w:t>(LF 2011)</w:t>
            </w:r>
          </w:p>
        </w:tc>
        <w:tc>
          <w:tcPr>
            <w:tcW w:w="2126" w:type="dxa"/>
            <w:vAlign w:val="center"/>
          </w:tcPr>
          <w:p w:rsidR="00C90377" w:rsidRPr="00DB4D13" w:rsidRDefault="00C90377" w:rsidP="00CE25C2">
            <w:pPr>
              <w:jc w:val="right"/>
            </w:pPr>
          </w:p>
        </w:tc>
        <w:tc>
          <w:tcPr>
            <w:tcW w:w="2126" w:type="dxa"/>
          </w:tcPr>
          <w:p w:rsidR="009F4381" w:rsidRDefault="009F4381" w:rsidP="00CE25C2">
            <w:pPr>
              <w:rPr>
                <w:rFonts w:asciiTheme="majorHAnsi" w:hAnsiTheme="majorHAnsi"/>
              </w:rPr>
            </w:pPr>
          </w:p>
          <w:p w:rsidR="009F4381" w:rsidRDefault="009F4381" w:rsidP="00CE25C2">
            <w:pPr>
              <w:rPr>
                <w:rFonts w:asciiTheme="majorHAnsi" w:hAnsiTheme="majorHAnsi"/>
              </w:rPr>
            </w:pPr>
          </w:p>
          <w:p w:rsidR="009F4381" w:rsidRDefault="009F4381" w:rsidP="00CE25C2">
            <w:pPr>
              <w:rPr>
                <w:rFonts w:asciiTheme="majorHAnsi" w:hAnsiTheme="majorHAnsi"/>
              </w:rPr>
            </w:pPr>
          </w:p>
          <w:p w:rsidR="009F4381" w:rsidRDefault="009F4381" w:rsidP="00CE25C2">
            <w:pPr>
              <w:rPr>
                <w:rFonts w:asciiTheme="majorHAnsi" w:hAnsiTheme="majorHAnsi"/>
              </w:rPr>
            </w:pPr>
          </w:p>
          <w:p w:rsidR="009F4381" w:rsidRDefault="009F4381" w:rsidP="00CE25C2">
            <w:pPr>
              <w:rPr>
                <w:rFonts w:asciiTheme="majorHAnsi" w:hAnsiTheme="majorHAnsi"/>
              </w:rPr>
            </w:pPr>
          </w:p>
          <w:p w:rsidR="009F4381" w:rsidRDefault="009F4381" w:rsidP="00CE25C2">
            <w:pPr>
              <w:rPr>
                <w:rFonts w:asciiTheme="majorHAnsi" w:hAnsiTheme="majorHAnsi"/>
              </w:rPr>
            </w:pPr>
          </w:p>
          <w:p w:rsidR="009F4381" w:rsidRDefault="009F4381" w:rsidP="00CE25C2">
            <w:pPr>
              <w:rPr>
                <w:rFonts w:asciiTheme="majorHAnsi" w:hAnsiTheme="majorHAnsi"/>
              </w:rPr>
            </w:pPr>
          </w:p>
          <w:p w:rsidR="009F4381" w:rsidRDefault="009F4381" w:rsidP="00CE25C2">
            <w:pPr>
              <w:rPr>
                <w:rFonts w:asciiTheme="majorHAnsi" w:hAnsiTheme="majorHAnsi"/>
              </w:rPr>
            </w:pPr>
          </w:p>
          <w:p w:rsidR="009F4381" w:rsidRDefault="009F4381" w:rsidP="00CE25C2">
            <w:pPr>
              <w:rPr>
                <w:rFonts w:asciiTheme="majorHAnsi" w:hAnsiTheme="majorHAnsi"/>
              </w:rPr>
            </w:pPr>
          </w:p>
          <w:p w:rsidR="009F4381" w:rsidRDefault="009F4381" w:rsidP="00CE25C2">
            <w:pPr>
              <w:rPr>
                <w:rFonts w:asciiTheme="majorHAnsi" w:hAnsiTheme="majorHAnsi"/>
              </w:rPr>
            </w:pPr>
          </w:p>
          <w:p w:rsidR="009F4381" w:rsidRDefault="009F4381" w:rsidP="00CE25C2">
            <w:pPr>
              <w:rPr>
                <w:rFonts w:asciiTheme="majorHAnsi" w:hAnsiTheme="majorHAnsi"/>
              </w:rPr>
            </w:pPr>
          </w:p>
          <w:p w:rsidR="009F4381" w:rsidRDefault="009F4381" w:rsidP="00CE25C2">
            <w:pPr>
              <w:rPr>
                <w:rFonts w:asciiTheme="majorHAnsi" w:hAnsiTheme="majorHAnsi"/>
              </w:rPr>
            </w:pPr>
          </w:p>
          <w:p w:rsidR="009F4381" w:rsidRDefault="009F4381" w:rsidP="00CE25C2">
            <w:pPr>
              <w:rPr>
                <w:rFonts w:asciiTheme="majorHAnsi" w:hAnsiTheme="majorHAnsi"/>
              </w:rPr>
            </w:pPr>
          </w:p>
          <w:p w:rsidR="009F4381" w:rsidRDefault="009F4381" w:rsidP="00CE25C2">
            <w:pPr>
              <w:rPr>
                <w:rFonts w:asciiTheme="majorHAnsi" w:hAnsiTheme="majorHAnsi"/>
              </w:rPr>
            </w:pPr>
          </w:p>
          <w:p w:rsidR="009F4381" w:rsidRDefault="009F4381" w:rsidP="00CE25C2">
            <w:pPr>
              <w:rPr>
                <w:rFonts w:asciiTheme="majorHAnsi" w:hAnsiTheme="majorHAnsi"/>
              </w:rPr>
            </w:pPr>
          </w:p>
          <w:p w:rsidR="009F4381" w:rsidRDefault="009F4381" w:rsidP="00CE25C2">
            <w:pPr>
              <w:rPr>
                <w:rFonts w:asciiTheme="majorHAnsi" w:hAnsiTheme="majorHAnsi"/>
              </w:rPr>
            </w:pPr>
          </w:p>
          <w:p w:rsidR="009F4381" w:rsidRDefault="009F4381" w:rsidP="00CE25C2">
            <w:pPr>
              <w:rPr>
                <w:rFonts w:asciiTheme="majorHAnsi" w:hAnsiTheme="majorHAnsi"/>
              </w:rPr>
            </w:pPr>
          </w:p>
          <w:p w:rsidR="009F4381" w:rsidRDefault="009F4381" w:rsidP="00CE25C2">
            <w:pPr>
              <w:rPr>
                <w:rFonts w:asciiTheme="majorHAnsi" w:hAnsiTheme="majorHAnsi"/>
              </w:rPr>
            </w:pPr>
          </w:p>
          <w:p w:rsidR="009F4381" w:rsidRDefault="009F4381" w:rsidP="00CE25C2">
            <w:pPr>
              <w:rPr>
                <w:rFonts w:asciiTheme="majorHAnsi" w:hAnsiTheme="majorHAnsi"/>
              </w:rPr>
            </w:pPr>
          </w:p>
          <w:p w:rsidR="009F4381" w:rsidRDefault="009F4381" w:rsidP="00CE25C2">
            <w:pPr>
              <w:rPr>
                <w:rFonts w:asciiTheme="majorHAnsi" w:hAnsiTheme="majorHAnsi"/>
              </w:rPr>
            </w:pPr>
          </w:p>
          <w:p w:rsidR="00C90377" w:rsidRDefault="009F4381" w:rsidP="00CE25C2">
            <w:pPr>
              <w:rPr>
                <w:rFonts w:asciiTheme="majorHAnsi" w:hAnsiTheme="majorHAnsi"/>
              </w:rPr>
            </w:pPr>
            <w:r>
              <w:rPr>
                <w:rFonts w:asciiTheme="majorHAnsi" w:hAnsiTheme="majorHAnsi"/>
              </w:rPr>
              <w:t>182</w:t>
            </w:r>
            <w:r w:rsidRPr="00DB4D13">
              <w:rPr>
                <w:rFonts w:asciiTheme="majorHAnsi" w:hAnsiTheme="majorHAnsi"/>
              </w:rPr>
              <w:t>.250,000</w:t>
            </w:r>
          </w:p>
          <w:p w:rsidR="009F4381" w:rsidRDefault="009F4381" w:rsidP="00CE25C2"/>
        </w:tc>
      </w:tr>
      <w:tr w:rsidR="00C90377" w:rsidTr="00DB4D13">
        <w:trPr>
          <w:trHeight w:val="408"/>
        </w:trPr>
        <w:tc>
          <w:tcPr>
            <w:tcW w:w="5495" w:type="dxa"/>
            <w:vAlign w:val="center"/>
          </w:tcPr>
          <w:p w:rsidR="00C90377" w:rsidRPr="00DF3F80" w:rsidRDefault="00C90377" w:rsidP="00DB4D13">
            <w:pPr>
              <w:rPr>
                <w:rFonts w:asciiTheme="majorHAnsi" w:hAnsiTheme="majorHAnsi"/>
                <w:b/>
                <w:bCs/>
                <w:sz w:val="24"/>
                <w:szCs w:val="24"/>
              </w:rPr>
            </w:pPr>
            <w:r w:rsidRPr="00DF3F80">
              <w:rPr>
                <w:rFonts w:asciiTheme="majorHAnsi" w:hAnsiTheme="majorHAnsi"/>
                <w:b/>
                <w:bCs/>
                <w:sz w:val="24"/>
                <w:szCs w:val="24"/>
              </w:rPr>
              <w:lastRenderedPageBreak/>
              <w:t>Bénéfice fiscal après déduction des bénéfices de l’export :</w:t>
            </w:r>
            <w:r w:rsidRPr="00DF3F80">
              <w:rPr>
                <w:rFonts w:asciiTheme="majorHAnsi" w:hAnsiTheme="majorHAnsi"/>
                <w:b/>
                <w:bCs/>
                <w:sz w:val="24"/>
                <w:szCs w:val="24"/>
              </w:rPr>
              <w:tab/>
            </w:r>
            <w:r w:rsidRPr="00DF3F80">
              <w:rPr>
                <w:rFonts w:asciiTheme="majorHAnsi" w:hAnsiTheme="majorHAnsi"/>
                <w:b/>
                <w:bCs/>
                <w:sz w:val="24"/>
                <w:szCs w:val="24"/>
              </w:rPr>
              <w:tab/>
            </w:r>
            <w:r w:rsidRPr="00DF3F80">
              <w:rPr>
                <w:rFonts w:asciiTheme="majorHAnsi" w:hAnsiTheme="majorHAnsi"/>
                <w:b/>
                <w:bCs/>
                <w:sz w:val="24"/>
                <w:szCs w:val="24"/>
              </w:rPr>
              <w:tab/>
            </w:r>
          </w:p>
        </w:tc>
        <w:tc>
          <w:tcPr>
            <w:tcW w:w="2126" w:type="dxa"/>
            <w:vAlign w:val="center"/>
          </w:tcPr>
          <w:p w:rsidR="00C90377" w:rsidRPr="00C45958" w:rsidRDefault="00F52163" w:rsidP="00DB4D13">
            <w:pPr>
              <w:jc w:val="right"/>
              <w:rPr>
                <w:b/>
                <w:bCs/>
              </w:rPr>
            </w:pPr>
            <w:r>
              <w:rPr>
                <w:b/>
                <w:bCs/>
              </w:rPr>
              <w:t>839</w:t>
            </w:r>
            <w:r w:rsidR="00C90377" w:rsidRPr="00C45958">
              <w:rPr>
                <w:b/>
                <w:bCs/>
              </w:rPr>
              <w:t>.</w:t>
            </w:r>
            <w:r w:rsidR="00DB4D13">
              <w:rPr>
                <w:b/>
                <w:bCs/>
              </w:rPr>
              <w:t>220</w:t>
            </w:r>
            <w:r w:rsidR="00C90377" w:rsidRPr="00C45958">
              <w:rPr>
                <w:b/>
                <w:bCs/>
              </w:rPr>
              <w:t>,</w:t>
            </w:r>
            <w:r w:rsidR="00DB4D13">
              <w:rPr>
                <w:b/>
                <w:bCs/>
              </w:rPr>
              <w:t>588</w:t>
            </w:r>
          </w:p>
          <w:p w:rsidR="00C90377" w:rsidRPr="00C45958" w:rsidRDefault="00C90377" w:rsidP="00DB4D13">
            <w:pPr>
              <w:jc w:val="right"/>
            </w:pPr>
          </w:p>
        </w:tc>
        <w:tc>
          <w:tcPr>
            <w:tcW w:w="2126" w:type="dxa"/>
          </w:tcPr>
          <w:p w:rsidR="00C90377" w:rsidRDefault="00C90377" w:rsidP="00CE25C2"/>
        </w:tc>
      </w:tr>
    </w:tbl>
    <w:p w:rsidR="00C90377" w:rsidRDefault="00C90377" w:rsidP="00C90377">
      <w:pPr>
        <w:tabs>
          <w:tab w:val="left" w:pos="284"/>
        </w:tabs>
        <w:spacing w:before="120" w:after="120" w:line="360" w:lineRule="auto"/>
        <w:jc w:val="both"/>
        <w:rPr>
          <w:rFonts w:asciiTheme="majorHAnsi" w:hAnsiTheme="majorHAnsi"/>
          <w:sz w:val="24"/>
          <w:szCs w:val="24"/>
        </w:rPr>
      </w:pPr>
    </w:p>
    <w:p w:rsidR="00DB4D13" w:rsidRDefault="00DB4D13" w:rsidP="00012CC4">
      <w:pPr>
        <w:tabs>
          <w:tab w:val="left" w:pos="284"/>
        </w:tabs>
        <w:spacing w:before="120" w:after="120" w:line="360" w:lineRule="auto"/>
        <w:jc w:val="both"/>
        <w:rPr>
          <w:rFonts w:asciiTheme="majorHAnsi" w:hAnsiTheme="majorHAnsi"/>
          <w:sz w:val="24"/>
          <w:szCs w:val="24"/>
        </w:rPr>
      </w:pPr>
      <w:r>
        <w:rPr>
          <w:rFonts w:asciiTheme="majorHAnsi" w:hAnsiTheme="majorHAnsi"/>
          <w:b/>
          <w:bCs/>
          <w:sz w:val="24"/>
          <w:szCs w:val="24"/>
        </w:rPr>
        <w:t>I-</w:t>
      </w:r>
      <w:r w:rsidRPr="00C90377">
        <w:rPr>
          <w:rFonts w:asciiTheme="majorHAnsi" w:hAnsiTheme="majorHAnsi"/>
          <w:b/>
          <w:bCs/>
          <w:sz w:val="24"/>
          <w:szCs w:val="24"/>
        </w:rPr>
        <w:t xml:space="preserve"> 2- </w:t>
      </w:r>
      <w:r w:rsidRPr="00055B54">
        <w:rPr>
          <w:rFonts w:asciiTheme="majorHAnsi" w:hAnsiTheme="majorHAnsi"/>
          <w:b/>
          <w:bCs/>
          <w:sz w:val="24"/>
          <w:szCs w:val="24"/>
        </w:rPr>
        <w:t xml:space="preserve">Détermination du résultat fiscal imposable de la société </w:t>
      </w:r>
      <w:r w:rsidRPr="00055B54">
        <w:rPr>
          <w:rFonts w:asciiTheme="majorHAnsi" w:hAnsiTheme="majorHAnsi"/>
          <w:b/>
          <w:bCs/>
          <w:i/>
          <w:iCs/>
          <w:sz w:val="24"/>
          <w:szCs w:val="24"/>
        </w:rPr>
        <w:t>« KLM »</w:t>
      </w:r>
      <w:r w:rsidRPr="00055B54">
        <w:rPr>
          <w:rFonts w:asciiTheme="majorHAnsi" w:hAnsiTheme="majorHAnsi"/>
          <w:b/>
          <w:bCs/>
          <w:sz w:val="24"/>
          <w:szCs w:val="24"/>
        </w:rPr>
        <w:t xml:space="preserve"> en optant pour l’alternative l</w:t>
      </w:r>
      <w:r w:rsidR="00012CC4" w:rsidRPr="00055B54">
        <w:rPr>
          <w:rFonts w:asciiTheme="majorHAnsi" w:hAnsiTheme="majorHAnsi"/>
          <w:b/>
          <w:bCs/>
          <w:sz w:val="24"/>
          <w:szCs w:val="24"/>
        </w:rPr>
        <w:t>a</w:t>
      </w:r>
      <w:r w:rsidRPr="00055B54">
        <w:rPr>
          <w:rFonts w:asciiTheme="majorHAnsi" w:hAnsiTheme="majorHAnsi"/>
          <w:b/>
          <w:bCs/>
          <w:sz w:val="24"/>
          <w:szCs w:val="24"/>
        </w:rPr>
        <w:t xml:space="preserve"> plus favorable</w:t>
      </w:r>
      <w:r w:rsidR="00012CC4" w:rsidRPr="00055B54">
        <w:rPr>
          <w:rFonts w:asciiTheme="majorHAnsi" w:hAnsiTheme="majorHAnsi"/>
          <w:b/>
          <w:bCs/>
          <w:sz w:val="24"/>
          <w:szCs w:val="24"/>
        </w:rPr>
        <w:t> :</w:t>
      </w:r>
      <w:r w:rsidRPr="00C90377">
        <w:rPr>
          <w:rFonts w:asciiTheme="majorHAnsi" w:hAnsiTheme="majorHAnsi"/>
          <w:sz w:val="24"/>
          <w:szCs w:val="24"/>
        </w:rPr>
        <w:t> </w:t>
      </w:r>
    </w:p>
    <w:p w:rsidR="00DB4D13" w:rsidRPr="00DB4D13" w:rsidRDefault="00DB4D13" w:rsidP="00DB4D13">
      <w:pPr>
        <w:tabs>
          <w:tab w:val="left" w:pos="284"/>
        </w:tabs>
        <w:spacing w:before="120" w:after="120" w:line="360" w:lineRule="auto"/>
        <w:jc w:val="both"/>
        <w:rPr>
          <w:rFonts w:asciiTheme="majorHAnsi" w:hAnsiTheme="majorHAnsi"/>
          <w:b/>
          <w:bCs/>
          <w:i/>
          <w:iCs/>
          <w:sz w:val="24"/>
          <w:szCs w:val="24"/>
        </w:rPr>
      </w:pPr>
      <w:r w:rsidRPr="00DB4D13">
        <w:rPr>
          <w:rFonts w:asciiTheme="majorHAnsi" w:hAnsiTheme="majorHAnsi"/>
          <w:b/>
          <w:bCs/>
          <w:i/>
          <w:iCs/>
          <w:sz w:val="24"/>
          <w:szCs w:val="24"/>
        </w:rPr>
        <w:t xml:space="preserve">Alternative 1 : </w:t>
      </w:r>
    </w:p>
    <w:p w:rsidR="00583BEB" w:rsidRDefault="00DB4D13" w:rsidP="00012CC4">
      <w:pPr>
        <w:spacing w:before="120" w:after="120" w:line="360" w:lineRule="auto"/>
        <w:jc w:val="both"/>
        <w:rPr>
          <w:rFonts w:asciiTheme="majorHAnsi" w:hAnsiTheme="majorHAnsi"/>
          <w:sz w:val="24"/>
          <w:szCs w:val="24"/>
        </w:rPr>
      </w:pPr>
      <w:r w:rsidRPr="00DB4D13">
        <w:rPr>
          <w:rFonts w:asciiTheme="majorHAnsi" w:hAnsiTheme="majorHAnsi"/>
          <w:sz w:val="24"/>
          <w:szCs w:val="24"/>
        </w:rPr>
        <w:t>La souscription d’un montant de 220.000</w:t>
      </w:r>
      <w:r w:rsidR="00012CC4">
        <w:rPr>
          <w:rFonts w:asciiTheme="majorHAnsi" w:hAnsiTheme="majorHAnsi"/>
          <w:sz w:val="24"/>
          <w:szCs w:val="24"/>
        </w:rPr>
        <w:t>,000</w:t>
      </w:r>
      <w:r w:rsidRPr="00DB4D13">
        <w:rPr>
          <w:rFonts w:asciiTheme="majorHAnsi" w:hAnsiTheme="majorHAnsi"/>
          <w:sz w:val="24"/>
          <w:szCs w:val="24"/>
        </w:rPr>
        <w:t xml:space="preserve"> TND au capital initial de la société </w:t>
      </w:r>
      <w:r w:rsidRPr="00012CC4">
        <w:rPr>
          <w:rFonts w:asciiTheme="majorHAnsi" w:hAnsiTheme="majorHAnsi"/>
          <w:b/>
          <w:bCs/>
          <w:i/>
          <w:iCs/>
          <w:sz w:val="24"/>
          <w:szCs w:val="24"/>
        </w:rPr>
        <w:t xml:space="preserve">« KLM plus » </w:t>
      </w:r>
      <w:r w:rsidRPr="00DB4D13">
        <w:rPr>
          <w:rFonts w:asciiTheme="majorHAnsi" w:hAnsiTheme="majorHAnsi"/>
          <w:sz w:val="24"/>
          <w:szCs w:val="24"/>
        </w:rPr>
        <w:t>ayant pour objet la création d’un projet d’hébergement au profit des étudiants conformément à un cahie</w:t>
      </w:r>
      <w:r w:rsidR="00583BEB">
        <w:rPr>
          <w:rFonts w:asciiTheme="majorHAnsi" w:hAnsiTheme="majorHAnsi"/>
          <w:sz w:val="24"/>
          <w:szCs w:val="24"/>
        </w:rPr>
        <w:t xml:space="preserve">r des charges prévu à cet effet </w:t>
      </w:r>
      <w:r w:rsidR="00583BEB" w:rsidRPr="00DB4D13">
        <w:rPr>
          <w:rFonts w:asciiTheme="majorHAnsi" w:hAnsiTheme="majorHAnsi"/>
          <w:sz w:val="24"/>
          <w:szCs w:val="24"/>
        </w:rPr>
        <w:t>donne droit à un dégrèvement financier dans la limite de</w:t>
      </w:r>
      <w:r w:rsidR="00583BEB">
        <w:rPr>
          <w:rFonts w:asciiTheme="majorHAnsi" w:hAnsiTheme="majorHAnsi"/>
          <w:sz w:val="24"/>
          <w:szCs w:val="24"/>
        </w:rPr>
        <w:t xml:space="preserve"> </w:t>
      </w:r>
      <w:r w:rsidR="00583BEB" w:rsidRPr="00DB4D13">
        <w:rPr>
          <w:rFonts w:asciiTheme="majorHAnsi" w:hAnsiTheme="majorHAnsi"/>
          <w:sz w:val="24"/>
          <w:szCs w:val="24"/>
        </w:rPr>
        <w:t xml:space="preserve">100% du bénéfice fiscal, </w:t>
      </w:r>
      <w:r w:rsidR="00583BEB" w:rsidRPr="00012CC4">
        <w:rPr>
          <w:rFonts w:asciiTheme="majorHAnsi" w:hAnsiTheme="majorHAnsi"/>
          <w:b/>
          <w:bCs/>
          <w:i/>
          <w:iCs/>
          <w:sz w:val="24"/>
          <w:szCs w:val="24"/>
        </w:rPr>
        <w:t>sous réserve</w:t>
      </w:r>
      <w:r w:rsidR="00583BEB" w:rsidRPr="00DB4D13">
        <w:rPr>
          <w:rFonts w:asciiTheme="majorHAnsi" w:hAnsiTheme="majorHAnsi"/>
          <w:sz w:val="24"/>
          <w:szCs w:val="24"/>
        </w:rPr>
        <w:t xml:space="preserve"> du minimum d’IS prévu par l’article 12 de la loi 89-114 du 30/12/1989</w:t>
      </w:r>
      <w:r w:rsidR="00012CC4">
        <w:rPr>
          <w:rFonts w:asciiTheme="majorHAnsi" w:hAnsiTheme="majorHAnsi"/>
          <w:sz w:val="24"/>
          <w:szCs w:val="24"/>
        </w:rPr>
        <w:t xml:space="preserve"> portant promulgation du code IRPP        et d’IS </w:t>
      </w:r>
      <w:r w:rsidR="00583BEB" w:rsidRPr="00DB4D13">
        <w:rPr>
          <w:rFonts w:asciiTheme="majorHAnsi" w:hAnsiTheme="majorHAnsi"/>
          <w:sz w:val="24"/>
          <w:szCs w:val="24"/>
        </w:rPr>
        <w:t>(20%).</w:t>
      </w:r>
    </w:p>
    <w:tbl>
      <w:tblPr>
        <w:tblStyle w:val="Grilledutableau"/>
        <w:tblW w:w="7883" w:type="dxa"/>
        <w:tblInd w:w="730" w:type="dxa"/>
        <w:tblLook w:val="04A0"/>
      </w:tblPr>
      <w:tblGrid>
        <w:gridCol w:w="5757"/>
        <w:gridCol w:w="2126"/>
      </w:tblGrid>
      <w:tr w:rsidR="00012CC4" w:rsidTr="00012CC4">
        <w:trPr>
          <w:trHeight w:val="758"/>
        </w:trPr>
        <w:tc>
          <w:tcPr>
            <w:tcW w:w="5757" w:type="dxa"/>
            <w:vAlign w:val="center"/>
          </w:tcPr>
          <w:p w:rsidR="00012CC4" w:rsidRPr="00AC3F8A" w:rsidRDefault="00012CC4" w:rsidP="00CE25C2">
            <w:pPr>
              <w:rPr>
                <w:rFonts w:asciiTheme="majorHAnsi" w:hAnsiTheme="majorHAnsi"/>
                <w:b/>
                <w:bCs/>
                <w:sz w:val="24"/>
                <w:szCs w:val="24"/>
              </w:rPr>
            </w:pPr>
            <w:r w:rsidRPr="00AC3F8A">
              <w:rPr>
                <w:rFonts w:asciiTheme="majorHAnsi" w:hAnsiTheme="majorHAnsi"/>
                <w:b/>
                <w:bCs/>
                <w:sz w:val="24"/>
                <w:szCs w:val="24"/>
              </w:rPr>
              <w:t xml:space="preserve">Bénéfice fiscal avant déduction des bénéfices réinvestis : (base min d’impôts)   </w:t>
            </w:r>
          </w:p>
        </w:tc>
        <w:tc>
          <w:tcPr>
            <w:tcW w:w="2126" w:type="dxa"/>
            <w:vAlign w:val="center"/>
          </w:tcPr>
          <w:p w:rsidR="00F52163" w:rsidRPr="00C45958" w:rsidRDefault="00F52163" w:rsidP="00F52163">
            <w:pPr>
              <w:jc w:val="right"/>
              <w:rPr>
                <w:b/>
                <w:bCs/>
              </w:rPr>
            </w:pPr>
            <w:r>
              <w:rPr>
                <w:b/>
                <w:bCs/>
              </w:rPr>
              <w:t>839</w:t>
            </w:r>
            <w:r w:rsidRPr="00C45958">
              <w:rPr>
                <w:b/>
                <w:bCs/>
              </w:rPr>
              <w:t>.</w:t>
            </w:r>
            <w:r>
              <w:rPr>
                <w:b/>
                <w:bCs/>
              </w:rPr>
              <w:t>220</w:t>
            </w:r>
            <w:r w:rsidRPr="00C45958">
              <w:rPr>
                <w:b/>
                <w:bCs/>
              </w:rPr>
              <w:t>,</w:t>
            </w:r>
            <w:r>
              <w:rPr>
                <w:b/>
                <w:bCs/>
              </w:rPr>
              <w:t>588</w:t>
            </w:r>
          </w:p>
          <w:p w:rsidR="00012CC4" w:rsidRPr="00C45958" w:rsidRDefault="00012CC4" w:rsidP="00CE25C2">
            <w:pPr>
              <w:jc w:val="right"/>
            </w:pPr>
          </w:p>
        </w:tc>
      </w:tr>
      <w:tr w:rsidR="00012CC4" w:rsidRPr="005F2FF7" w:rsidTr="00012CC4">
        <w:trPr>
          <w:trHeight w:val="408"/>
        </w:trPr>
        <w:tc>
          <w:tcPr>
            <w:tcW w:w="5757" w:type="dxa"/>
            <w:vAlign w:val="center"/>
          </w:tcPr>
          <w:p w:rsidR="00012CC4" w:rsidRDefault="00012CC4" w:rsidP="00CE25C2">
            <w:pPr>
              <w:jc w:val="both"/>
              <w:rPr>
                <w:rFonts w:asciiTheme="majorHAnsi" w:hAnsiTheme="majorHAnsi"/>
                <w:sz w:val="24"/>
                <w:szCs w:val="24"/>
              </w:rPr>
            </w:pPr>
            <w:r w:rsidRPr="00AC3F8A">
              <w:rPr>
                <w:rFonts w:asciiTheme="majorHAnsi" w:hAnsiTheme="majorHAnsi"/>
                <w:sz w:val="24"/>
                <w:szCs w:val="24"/>
              </w:rPr>
              <w:t>Déduction de</w:t>
            </w:r>
            <w:r>
              <w:rPr>
                <w:rFonts w:asciiTheme="majorHAnsi" w:hAnsiTheme="majorHAnsi"/>
                <w:sz w:val="24"/>
                <w:szCs w:val="24"/>
              </w:rPr>
              <w:t>s</w:t>
            </w:r>
            <w:r w:rsidRPr="00AC3F8A">
              <w:rPr>
                <w:rFonts w:asciiTheme="majorHAnsi" w:hAnsiTheme="majorHAnsi"/>
                <w:sz w:val="24"/>
                <w:szCs w:val="24"/>
              </w:rPr>
              <w:t xml:space="preserve"> bénéfice</w:t>
            </w:r>
            <w:r>
              <w:rPr>
                <w:rFonts w:asciiTheme="majorHAnsi" w:hAnsiTheme="majorHAnsi"/>
                <w:sz w:val="24"/>
                <w:szCs w:val="24"/>
              </w:rPr>
              <w:t xml:space="preserve">s réinvestis dans le </w:t>
            </w:r>
            <w:r w:rsidRPr="00DB4D13">
              <w:rPr>
                <w:rFonts w:asciiTheme="majorHAnsi" w:hAnsiTheme="majorHAnsi"/>
                <w:sz w:val="24"/>
                <w:szCs w:val="24"/>
              </w:rPr>
              <w:t>capital initial</w:t>
            </w:r>
            <w:r>
              <w:rPr>
                <w:rFonts w:asciiTheme="majorHAnsi" w:hAnsiTheme="majorHAnsi"/>
                <w:sz w:val="24"/>
                <w:szCs w:val="24"/>
              </w:rPr>
              <w:t xml:space="preserve"> d’une société </w:t>
            </w:r>
            <w:r w:rsidRPr="00DB4D13">
              <w:rPr>
                <w:rFonts w:asciiTheme="majorHAnsi" w:hAnsiTheme="majorHAnsi"/>
                <w:sz w:val="24"/>
                <w:szCs w:val="24"/>
              </w:rPr>
              <w:t>ayant pour objet la création d’un projet d’hébergement au profit des étudiants</w:t>
            </w:r>
            <w:r>
              <w:rPr>
                <w:rFonts w:asciiTheme="majorHAnsi" w:hAnsiTheme="majorHAnsi"/>
                <w:sz w:val="24"/>
                <w:szCs w:val="24"/>
              </w:rPr>
              <w:t xml:space="preserve">  </w:t>
            </w:r>
          </w:p>
          <w:p w:rsidR="00012CC4" w:rsidRPr="00AC3F8A" w:rsidRDefault="00012CC4" w:rsidP="0080588F">
            <w:pPr>
              <w:jc w:val="both"/>
              <w:rPr>
                <w:rFonts w:asciiTheme="majorHAnsi" w:hAnsiTheme="majorHAnsi"/>
                <w:sz w:val="24"/>
                <w:szCs w:val="24"/>
              </w:rPr>
            </w:pPr>
            <w:r w:rsidRPr="008332CC">
              <w:rPr>
                <w:rFonts w:asciiTheme="majorHAnsi" w:hAnsiTheme="majorHAnsi"/>
                <w:b/>
                <w:bCs/>
                <w:i/>
                <w:iCs/>
                <w:sz w:val="24"/>
                <w:szCs w:val="24"/>
              </w:rPr>
              <w:t xml:space="preserve">Argumentations : </w:t>
            </w:r>
            <w:r>
              <w:rPr>
                <w:rFonts w:asciiTheme="majorHAnsi" w:hAnsiTheme="majorHAnsi"/>
                <w:sz w:val="24"/>
                <w:szCs w:val="24"/>
              </w:rPr>
              <w:t xml:space="preserve">article 48-VII </w:t>
            </w:r>
            <w:proofErr w:type="spellStart"/>
            <w:r>
              <w:rPr>
                <w:rFonts w:asciiTheme="majorHAnsi" w:hAnsiTheme="majorHAnsi"/>
                <w:sz w:val="24"/>
                <w:szCs w:val="24"/>
              </w:rPr>
              <w:t>octies</w:t>
            </w:r>
            <w:proofErr w:type="spellEnd"/>
            <w:r>
              <w:rPr>
                <w:rFonts w:asciiTheme="majorHAnsi" w:hAnsiTheme="majorHAnsi"/>
                <w:sz w:val="24"/>
                <w:szCs w:val="24"/>
              </w:rPr>
              <w:t xml:space="preserve"> du code IRPP et IS.</w:t>
            </w:r>
          </w:p>
        </w:tc>
        <w:tc>
          <w:tcPr>
            <w:tcW w:w="2126" w:type="dxa"/>
            <w:vAlign w:val="center"/>
          </w:tcPr>
          <w:p w:rsidR="00012CC4" w:rsidRPr="005F2FF7" w:rsidRDefault="00012CC4" w:rsidP="00CE25C2">
            <w:pPr>
              <w:jc w:val="right"/>
              <w:rPr>
                <w:b/>
                <w:bCs/>
              </w:rPr>
            </w:pPr>
            <w:r>
              <w:rPr>
                <w:b/>
                <w:bCs/>
              </w:rPr>
              <w:t>220.000,000</w:t>
            </w:r>
          </w:p>
        </w:tc>
      </w:tr>
      <w:tr w:rsidR="00012CC4" w:rsidRPr="005F2FF7" w:rsidTr="00012CC4">
        <w:trPr>
          <w:trHeight w:val="474"/>
        </w:trPr>
        <w:tc>
          <w:tcPr>
            <w:tcW w:w="5757" w:type="dxa"/>
            <w:vAlign w:val="center"/>
          </w:tcPr>
          <w:p w:rsidR="00012CC4" w:rsidRPr="005F2FF7" w:rsidRDefault="00012CC4" w:rsidP="00AC3F8A">
            <w:pPr>
              <w:jc w:val="both"/>
              <w:rPr>
                <w:rFonts w:asciiTheme="majorHAnsi" w:hAnsiTheme="majorHAnsi"/>
                <w:b/>
                <w:bCs/>
                <w:sz w:val="24"/>
                <w:szCs w:val="24"/>
              </w:rPr>
            </w:pPr>
            <w:r w:rsidRPr="005F2FF7">
              <w:rPr>
                <w:rFonts w:asciiTheme="majorHAnsi" w:hAnsiTheme="majorHAnsi"/>
                <w:b/>
                <w:bCs/>
                <w:sz w:val="24"/>
                <w:szCs w:val="24"/>
              </w:rPr>
              <w:t xml:space="preserve">Bénéfice fiscal </w:t>
            </w:r>
            <w:r>
              <w:rPr>
                <w:rFonts w:asciiTheme="majorHAnsi" w:hAnsiTheme="majorHAnsi"/>
                <w:b/>
                <w:bCs/>
                <w:sz w:val="24"/>
                <w:szCs w:val="24"/>
              </w:rPr>
              <w:t xml:space="preserve">imposable </w:t>
            </w:r>
          </w:p>
        </w:tc>
        <w:tc>
          <w:tcPr>
            <w:tcW w:w="2126" w:type="dxa"/>
            <w:vAlign w:val="center"/>
          </w:tcPr>
          <w:p w:rsidR="00012CC4" w:rsidRPr="005F2FF7" w:rsidRDefault="00F52163" w:rsidP="00CE25C2">
            <w:pPr>
              <w:jc w:val="right"/>
              <w:rPr>
                <w:b/>
                <w:bCs/>
              </w:rPr>
            </w:pPr>
            <w:r>
              <w:rPr>
                <w:b/>
                <w:bCs/>
              </w:rPr>
              <w:t>619</w:t>
            </w:r>
            <w:r w:rsidR="00012CC4" w:rsidRPr="00C45958">
              <w:rPr>
                <w:b/>
                <w:bCs/>
              </w:rPr>
              <w:t>.</w:t>
            </w:r>
            <w:r w:rsidR="00012CC4">
              <w:rPr>
                <w:b/>
                <w:bCs/>
              </w:rPr>
              <w:t>220</w:t>
            </w:r>
            <w:r w:rsidR="00012CC4" w:rsidRPr="00C45958">
              <w:rPr>
                <w:b/>
                <w:bCs/>
              </w:rPr>
              <w:t>,</w:t>
            </w:r>
            <w:r w:rsidR="00012CC4">
              <w:rPr>
                <w:b/>
                <w:bCs/>
              </w:rPr>
              <w:t>588</w:t>
            </w:r>
          </w:p>
        </w:tc>
      </w:tr>
      <w:tr w:rsidR="00012CC4" w:rsidRPr="005F2FF7" w:rsidTr="00012CC4">
        <w:trPr>
          <w:trHeight w:val="566"/>
        </w:trPr>
        <w:tc>
          <w:tcPr>
            <w:tcW w:w="5757" w:type="dxa"/>
            <w:vAlign w:val="center"/>
          </w:tcPr>
          <w:p w:rsidR="00012CC4" w:rsidRPr="005F2FF7" w:rsidRDefault="00012CC4" w:rsidP="00CE25C2">
            <w:pPr>
              <w:jc w:val="both"/>
              <w:rPr>
                <w:rFonts w:asciiTheme="majorHAnsi" w:hAnsiTheme="majorHAnsi"/>
                <w:b/>
                <w:bCs/>
                <w:sz w:val="24"/>
                <w:szCs w:val="24"/>
              </w:rPr>
            </w:pPr>
            <w:r w:rsidRPr="005F2FF7">
              <w:rPr>
                <w:rFonts w:asciiTheme="majorHAnsi" w:hAnsiTheme="majorHAnsi"/>
                <w:b/>
                <w:bCs/>
                <w:sz w:val="24"/>
                <w:szCs w:val="24"/>
              </w:rPr>
              <w:t>Bénéfice fiscal arrondi au dinar inferieur</w:t>
            </w:r>
          </w:p>
        </w:tc>
        <w:tc>
          <w:tcPr>
            <w:tcW w:w="2126" w:type="dxa"/>
            <w:vAlign w:val="center"/>
          </w:tcPr>
          <w:p w:rsidR="00012CC4" w:rsidRPr="005F2FF7" w:rsidRDefault="00F52163" w:rsidP="00AC3F8A">
            <w:pPr>
              <w:jc w:val="right"/>
              <w:rPr>
                <w:b/>
                <w:bCs/>
              </w:rPr>
            </w:pPr>
            <w:r>
              <w:rPr>
                <w:b/>
                <w:bCs/>
              </w:rPr>
              <w:t>619</w:t>
            </w:r>
            <w:r w:rsidR="00012CC4" w:rsidRPr="00C45958">
              <w:rPr>
                <w:b/>
                <w:bCs/>
              </w:rPr>
              <w:t>.</w:t>
            </w:r>
            <w:r w:rsidR="00012CC4">
              <w:rPr>
                <w:b/>
                <w:bCs/>
              </w:rPr>
              <w:t>220</w:t>
            </w:r>
            <w:r w:rsidR="00012CC4" w:rsidRPr="00C45958">
              <w:rPr>
                <w:b/>
                <w:bCs/>
              </w:rPr>
              <w:t>,</w:t>
            </w:r>
            <w:r w:rsidR="00012CC4">
              <w:rPr>
                <w:b/>
                <w:bCs/>
              </w:rPr>
              <w:t>000</w:t>
            </w:r>
          </w:p>
        </w:tc>
      </w:tr>
      <w:tr w:rsidR="00012CC4" w:rsidRPr="005F2FF7" w:rsidTr="00012CC4">
        <w:trPr>
          <w:trHeight w:val="487"/>
        </w:trPr>
        <w:tc>
          <w:tcPr>
            <w:tcW w:w="5757" w:type="dxa"/>
            <w:vAlign w:val="center"/>
          </w:tcPr>
          <w:p w:rsidR="00012CC4" w:rsidRPr="008300B2" w:rsidRDefault="00012CC4" w:rsidP="00FA3B60">
            <w:pPr>
              <w:jc w:val="both"/>
              <w:rPr>
                <w:rFonts w:asciiTheme="majorHAnsi" w:hAnsiTheme="majorHAnsi"/>
                <w:sz w:val="24"/>
                <w:szCs w:val="24"/>
              </w:rPr>
            </w:pPr>
            <w:r w:rsidRPr="00922D2E">
              <w:rPr>
                <w:rFonts w:asciiTheme="majorHAnsi" w:hAnsiTheme="majorHAnsi"/>
                <w:sz w:val="24"/>
                <w:szCs w:val="24"/>
              </w:rPr>
              <w:t xml:space="preserve">IS dû : </w:t>
            </w:r>
            <w:r w:rsidR="00FA3B60">
              <w:rPr>
                <w:rFonts w:asciiTheme="majorHAnsi" w:hAnsiTheme="majorHAnsi"/>
                <w:sz w:val="24"/>
                <w:szCs w:val="24"/>
              </w:rPr>
              <w:t>619</w:t>
            </w:r>
            <w:r w:rsidRPr="00922D2E">
              <w:rPr>
                <w:rFonts w:asciiTheme="majorHAnsi" w:hAnsiTheme="majorHAnsi"/>
                <w:sz w:val="24"/>
                <w:szCs w:val="24"/>
              </w:rPr>
              <w:t>.</w:t>
            </w:r>
            <w:r>
              <w:rPr>
                <w:rFonts w:asciiTheme="majorHAnsi" w:hAnsiTheme="majorHAnsi"/>
                <w:sz w:val="24"/>
                <w:szCs w:val="24"/>
              </w:rPr>
              <w:t>220</w:t>
            </w:r>
            <w:r w:rsidRPr="00922D2E">
              <w:rPr>
                <w:rFonts w:asciiTheme="majorHAnsi" w:hAnsiTheme="majorHAnsi"/>
                <w:sz w:val="24"/>
                <w:szCs w:val="24"/>
              </w:rPr>
              <w:t>,000D D x</w:t>
            </w:r>
            <w:r>
              <w:rPr>
                <w:rFonts w:asciiTheme="majorHAnsi" w:hAnsiTheme="majorHAnsi"/>
                <w:sz w:val="24"/>
                <w:szCs w:val="24"/>
              </w:rPr>
              <w:t xml:space="preserve"> </w:t>
            </w:r>
            <w:r w:rsidRPr="00922D2E">
              <w:rPr>
                <w:rFonts w:asciiTheme="majorHAnsi" w:hAnsiTheme="majorHAnsi"/>
                <w:sz w:val="24"/>
                <w:szCs w:val="24"/>
              </w:rPr>
              <w:t xml:space="preserve">30% </w:t>
            </w:r>
          </w:p>
        </w:tc>
        <w:tc>
          <w:tcPr>
            <w:tcW w:w="2126" w:type="dxa"/>
            <w:vAlign w:val="center"/>
          </w:tcPr>
          <w:p w:rsidR="00012CC4" w:rsidRPr="005F2FF7" w:rsidRDefault="00F52163" w:rsidP="00F52163">
            <w:pPr>
              <w:jc w:val="right"/>
              <w:rPr>
                <w:b/>
                <w:bCs/>
              </w:rPr>
            </w:pPr>
            <w:r>
              <w:t>185</w:t>
            </w:r>
            <w:r w:rsidR="00012CC4" w:rsidRPr="005F2FF7">
              <w:t>.</w:t>
            </w:r>
            <w:r>
              <w:t>7</w:t>
            </w:r>
            <w:r w:rsidR="00012CC4">
              <w:t>66</w:t>
            </w:r>
            <w:r w:rsidR="00012CC4" w:rsidRPr="005F2FF7">
              <w:t>,</w:t>
            </w:r>
            <w:r w:rsidR="00012CC4">
              <w:t>0</w:t>
            </w:r>
            <w:r w:rsidR="00012CC4" w:rsidRPr="005F2FF7">
              <w:t>00</w:t>
            </w:r>
          </w:p>
        </w:tc>
      </w:tr>
      <w:tr w:rsidR="00012CC4" w:rsidRPr="005F2FF7" w:rsidTr="00012CC4">
        <w:trPr>
          <w:trHeight w:val="908"/>
        </w:trPr>
        <w:tc>
          <w:tcPr>
            <w:tcW w:w="5757" w:type="dxa"/>
            <w:vAlign w:val="center"/>
          </w:tcPr>
          <w:p w:rsidR="00012CC4" w:rsidRPr="00AC3F8A" w:rsidRDefault="00012CC4" w:rsidP="00F52163">
            <w:pPr>
              <w:jc w:val="both"/>
              <w:rPr>
                <w:b/>
                <w:bCs/>
              </w:rPr>
            </w:pPr>
            <w:r w:rsidRPr="005F2FF7">
              <w:rPr>
                <w:rFonts w:asciiTheme="majorHAnsi" w:hAnsiTheme="majorHAnsi"/>
                <w:b/>
                <w:bCs/>
                <w:sz w:val="24"/>
                <w:szCs w:val="24"/>
              </w:rPr>
              <w:t xml:space="preserve">Min d’impôt </w:t>
            </w:r>
            <w:r>
              <w:rPr>
                <w:rFonts w:asciiTheme="majorHAnsi" w:hAnsiTheme="majorHAnsi"/>
                <w:b/>
                <w:bCs/>
                <w:sz w:val="24"/>
                <w:szCs w:val="24"/>
              </w:rPr>
              <w:t>selon l’</w:t>
            </w:r>
            <w:r w:rsidRPr="005F2FF7">
              <w:rPr>
                <w:rFonts w:asciiTheme="majorHAnsi" w:hAnsiTheme="majorHAnsi"/>
                <w:b/>
                <w:bCs/>
                <w:sz w:val="24"/>
                <w:szCs w:val="24"/>
              </w:rPr>
              <w:t xml:space="preserve">art 12 </w:t>
            </w:r>
            <w:r>
              <w:rPr>
                <w:rFonts w:asciiTheme="majorHAnsi" w:hAnsiTheme="majorHAnsi"/>
                <w:b/>
                <w:bCs/>
                <w:sz w:val="24"/>
                <w:szCs w:val="24"/>
              </w:rPr>
              <w:t xml:space="preserve">de la </w:t>
            </w:r>
            <w:r w:rsidRPr="005F2FF7">
              <w:rPr>
                <w:rFonts w:asciiTheme="majorHAnsi" w:hAnsiTheme="majorHAnsi"/>
                <w:b/>
                <w:bCs/>
                <w:sz w:val="24"/>
                <w:szCs w:val="24"/>
              </w:rPr>
              <w:t xml:space="preserve">loi de promulgation du code IRPP et IS (20%) : </w:t>
            </w:r>
            <w:r w:rsidR="00F52163">
              <w:rPr>
                <w:b/>
                <w:bCs/>
                <w:sz w:val="24"/>
                <w:szCs w:val="24"/>
              </w:rPr>
              <w:t>839</w:t>
            </w:r>
            <w:r w:rsidRPr="00AC3F8A">
              <w:rPr>
                <w:b/>
                <w:bCs/>
                <w:sz w:val="24"/>
                <w:szCs w:val="24"/>
              </w:rPr>
              <w:t>.220,</w:t>
            </w:r>
            <w:r>
              <w:rPr>
                <w:b/>
                <w:bCs/>
                <w:sz w:val="24"/>
                <w:szCs w:val="24"/>
              </w:rPr>
              <w:t>000</w:t>
            </w:r>
            <w:r>
              <w:rPr>
                <w:b/>
                <w:bCs/>
              </w:rPr>
              <w:t xml:space="preserve"> </w:t>
            </w:r>
            <w:r w:rsidRPr="005F2FF7">
              <w:rPr>
                <w:rFonts w:asciiTheme="majorHAnsi" w:hAnsiTheme="majorHAnsi"/>
                <w:b/>
                <w:bCs/>
                <w:sz w:val="24"/>
                <w:szCs w:val="24"/>
              </w:rPr>
              <w:t xml:space="preserve">x 20%  </w:t>
            </w:r>
          </w:p>
        </w:tc>
        <w:tc>
          <w:tcPr>
            <w:tcW w:w="2126" w:type="dxa"/>
            <w:vAlign w:val="center"/>
          </w:tcPr>
          <w:p w:rsidR="00012CC4" w:rsidRPr="005F2FF7" w:rsidRDefault="00012CC4" w:rsidP="00F52163">
            <w:pPr>
              <w:jc w:val="right"/>
              <w:rPr>
                <w:b/>
                <w:bCs/>
              </w:rPr>
            </w:pPr>
            <w:r>
              <w:rPr>
                <w:b/>
                <w:bCs/>
              </w:rPr>
              <w:t>1</w:t>
            </w:r>
            <w:r w:rsidR="00F52163">
              <w:rPr>
                <w:b/>
                <w:bCs/>
              </w:rPr>
              <w:t>67</w:t>
            </w:r>
            <w:r>
              <w:rPr>
                <w:b/>
                <w:bCs/>
              </w:rPr>
              <w:t>.</w:t>
            </w:r>
            <w:r w:rsidR="00F52163">
              <w:rPr>
                <w:b/>
                <w:bCs/>
              </w:rPr>
              <w:t>8</w:t>
            </w:r>
            <w:r>
              <w:rPr>
                <w:b/>
                <w:bCs/>
              </w:rPr>
              <w:t>44</w:t>
            </w:r>
            <w:r w:rsidRPr="005F2FF7">
              <w:rPr>
                <w:b/>
                <w:bCs/>
              </w:rPr>
              <w:t>,</w:t>
            </w:r>
            <w:r>
              <w:rPr>
                <w:b/>
                <w:bCs/>
              </w:rPr>
              <w:t>000</w:t>
            </w:r>
          </w:p>
        </w:tc>
      </w:tr>
      <w:tr w:rsidR="00012CC4" w:rsidRPr="005F2FF7" w:rsidTr="00012CC4">
        <w:trPr>
          <w:trHeight w:val="850"/>
        </w:trPr>
        <w:tc>
          <w:tcPr>
            <w:tcW w:w="5757" w:type="dxa"/>
            <w:vAlign w:val="center"/>
          </w:tcPr>
          <w:p w:rsidR="00012CC4" w:rsidRPr="00922D2E" w:rsidRDefault="00012CC4" w:rsidP="00C86A4C">
            <w:pPr>
              <w:jc w:val="both"/>
              <w:rPr>
                <w:rFonts w:asciiTheme="majorHAnsi" w:hAnsiTheme="majorHAnsi"/>
                <w:sz w:val="24"/>
                <w:szCs w:val="24"/>
              </w:rPr>
            </w:pPr>
            <w:r w:rsidRPr="00922D2E">
              <w:rPr>
                <w:rFonts w:asciiTheme="majorHAnsi" w:hAnsiTheme="majorHAnsi"/>
                <w:sz w:val="24"/>
                <w:szCs w:val="24"/>
              </w:rPr>
              <w:t>Min impôt</w:t>
            </w:r>
            <w:r>
              <w:rPr>
                <w:rFonts w:asciiTheme="majorHAnsi" w:hAnsiTheme="majorHAnsi"/>
                <w:sz w:val="24"/>
                <w:szCs w:val="24"/>
              </w:rPr>
              <w:t>s selon l’article 44 code IRPP et IS</w:t>
            </w:r>
            <w:r w:rsidRPr="00922D2E">
              <w:rPr>
                <w:rFonts w:asciiTheme="majorHAnsi" w:hAnsiTheme="majorHAnsi"/>
                <w:sz w:val="24"/>
                <w:szCs w:val="24"/>
              </w:rPr>
              <w:t xml:space="preserve"> (0.1% CA local </w:t>
            </w:r>
            <w:r>
              <w:rPr>
                <w:rFonts w:asciiTheme="majorHAnsi" w:hAnsiTheme="majorHAnsi"/>
                <w:sz w:val="24"/>
                <w:szCs w:val="24"/>
              </w:rPr>
              <w:t>TTC</w:t>
            </w:r>
            <w:r w:rsidRPr="00922D2E">
              <w:rPr>
                <w:rFonts w:asciiTheme="majorHAnsi" w:hAnsiTheme="majorHAnsi"/>
                <w:sz w:val="24"/>
                <w:szCs w:val="24"/>
              </w:rPr>
              <w:t xml:space="preserve">) : </w:t>
            </w:r>
            <w:r>
              <w:rPr>
                <w:rFonts w:asciiTheme="majorHAnsi" w:hAnsiTheme="majorHAnsi"/>
                <w:sz w:val="24"/>
                <w:szCs w:val="24"/>
              </w:rPr>
              <w:t>(</w:t>
            </w:r>
            <w:r w:rsidRPr="006F2876">
              <w:rPr>
                <w:rFonts w:asciiTheme="majorHAnsi" w:hAnsiTheme="majorHAnsi"/>
                <w:sz w:val="24"/>
                <w:szCs w:val="24"/>
              </w:rPr>
              <w:t xml:space="preserve">4.000.000 </w:t>
            </w:r>
            <w:r>
              <w:rPr>
                <w:rFonts w:asciiTheme="majorHAnsi" w:hAnsiTheme="majorHAnsi"/>
                <w:sz w:val="24"/>
                <w:szCs w:val="24"/>
              </w:rPr>
              <w:t xml:space="preserve">-1.000.000) </w:t>
            </w:r>
            <w:r w:rsidRPr="00922D2E">
              <w:rPr>
                <w:rFonts w:asciiTheme="majorHAnsi" w:hAnsiTheme="majorHAnsi"/>
                <w:sz w:val="24"/>
                <w:szCs w:val="24"/>
              </w:rPr>
              <w:t>x</w:t>
            </w:r>
            <w:r>
              <w:rPr>
                <w:rFonts w:asciiTheme="majorHAnsi" w:hAnsiTheme="majorHAnsi"/>
                <w:sz w:val="24"/>
                <w:szCs w:val="24"/>
              </w:rPr>
              <w:t xml:space="preserve"> 1.18 </w:t>
            </w:r>
            <w:r w:rsidRPr="00922D2E">
              <w:rPr>
                <w:rFonts w:asciiTheme="majorHAnsi" w:hAnsiTheme="majorHAnsi"/>
                <w:sz w:val="24"/>
                <w:szCs w:val="24"/>
              </w:rPr>
              <w:t>x</w:t>
            </w:r>
            <w:r>
              <w:rPr>
                <w:rFonts w:asciiTheme="majorHAnsi" w:hAnsiTheme="majorHAnsi"/>
                <w:sz w:val="24"/>
                <w:szCs w:val="24"/>
              </w:rPr>
              <w:t xml:space="preserve"> 0.1%</w:t>
            </w:r>
          </w:p>
        </w:tc>
        <w:tc>
          <w:tcPr>
            <w:tcW w:w="2126" w:type="dxa"/>
            <w:vAlign w:val="center"/>
          </w:tcPr>
          <w:p w:rsidR="00012CC4" w:rsidRPr="005F2FF7" w:rsidRDefault="00012CC4" w:rsidP="00C86A4C">
            <w:pPr>
              <w:jc w:val="right"/>
            </w:pPr>
            <w:r>
              <w:t>3</w:t>
            </w:r>
            <w:r w:rsidRPr="005F2FF7">
              <w:t>.</w:t>
            </w:r>
            <w:r>
              <w:t>540</w:t>
            </w:r>
            <w:r w:rsidRPr="005F2FF7">
              <w:t>,000</w:t>
            </w:r>
          </w:p>
        </w:tc>
      </w:tr>
    </w:tbl>
    <w:p w:rsidR="00C86A4C" w:rsidRDefault="00C86A4C" w:rsidP="00F52163">
      <w:pPr>
        <w:spacing w:before="120" w:after="120" w:line="360" w:lineRule="auto"/>
        <w:jc w:val="both"/>
        <w:rPr>
          <w:rFonts w:asciiTheme="majorHAnsi" w:hAnsiTheme="majorHAnsi"/>
          <w:sz w:val="24"/>
          <w:szCs w:val="24"/>
        </w:rPr>
      </w:pPr>
      <w:r w:rsidRPr="00922D2E">
        <w:rPr>
          <w:rFonts w:asciiTheme="majorHAnsi" w:hAnsiTheme="majorHAnsi"/>
          <w:sz w:val="24"/>
          <w:szCs w:val="24"/>
        </w:rPr>
        <w:lastRenderedPageBreak/>
        <w:t>Donc à retenir</w:t>
      </w:r>
      <w:r>
        <w:rPr>
          <w:rFonts w:asciiTheme="majorHAnsi" w:hAnsiTheme="majorHAnsi"/>
          <w:sz w:val="24"/>
          <w:szCs w:val="24"/>
        </w:rPr>
        <w:t xml:space="preserve"> le montant de</w:t>
      </w:r>
      <w:r w:rsidRPr="00922D2E">
        <w:rPr>
          <w:rFonts w:asciiTheme="majorHAnsi" w:hAnsiTheme="majorHAnsi"/>
          <w:sz w:val="24"/>
          <w:szCs w:val="24"/>
        </w:rPr>
        <w:t xml:space="preserve"> </w:t>
      </w:r>
      <w:r w:rsidR="00F52163">
        <w:rPr>
          <w:sz w:val="24"/>
          <w:szCs w:val="24"/>
        </w:rPr>
        <w:t>185</w:t>
      </w:r>
      <w:r w:rsidRPr="00C86A4C">
        <w:rPr>
          <w:sz w:val="24"/>
          <w:szCs w:val="24"/>
        </w:rPr>
        <w:t>.</w:t>
      </w:r>
      <w:r w:rsidR="00F52163">
        <w:rPr>
          <w:sz w:val="24"/>
          <w:szCs w:val="24"/>
        </w:rPr>
        <w:t>7</w:t>
      </w:r>
      <w:r w:rsidRPr="00C86A4C">
        <w:rPr>
          <w:sz w:val="24"/>
          <w:szCs w:val="24"/>
        </w:rPr>
        <w:t>66,000</w:t>
      </w:r>
      <w:r>
        <w:rPr>
          <w:sz w:val="24"/>
          <w:szCs w:val="24"/>
        </w:rPr>
        <w:t xml:space="preserve"> TND</w:t>
      </w:r>
      <w:r>
        <w:t xml:space="preserve"> </w:t>
      </w:r>
      <w:r w:rsidRPr="00922D2E">
        <w:rPr>
          <w:rFonts w:asciiTheme="majorHAnsi" w:hAnsiTheme="majorHAnsi"/>
          <w:sz w:val="24"/>
          <w:szCs w:val="24"/>
        </w:rPr>
        <w:t xml:space="preserve">comme IS dû par la société </w:t>
      </w:r>
      <w:r w:rsidRPr="00C90377">
        <w:rPr>
          <w:rFonts w:asciiTheme="majorHAnsi" w:hAnsiTheme="majorHAnsi"/>
          <w:b/>
          <w:bCs/>
          <w:i/>
          <w:iCs/>
          <w:sz w:val="24"/>
          <w:szCs w:val="24"/>
        </w:rPr>
        <w:t>« KLM »</w:t>
      </w:r>
      <w:r w:rsidRPr="00C90377">
        <w:rPr>
          <w:rFonts w:asciiTheme="majorHAnsi" w:hAnsiTheme="majorHAnsi"/>
          <w:sz w:val="24"/>
          <w:szCs w:val="24"/>
        </w:rPr>
        <w:t xml:space="preserve"> </w:t>
      </w:r>
      <w:r w:rsidRPr="00922D2E">
        <w:rPr>
          <w:rFonts w:asciiTheme="majorHAnsi" w:hAnsiTheme="majorHAnsi"/>
          <w:sz w:val="24"/>
          <w:szCs w:val="24"/>
        </w:rPr>
        <w:t>au titre de</w:t>
      </w:r>
      <w:r>
        <w:rPr>
          <w:rFonts w:asciiTheme="majorHAnsi" w:hAnsiTheme="majorHAnsi"/>
          <w:sz w:val="24"/>
          <w:szCs w:val="24"/>
        </w:rPr>
        <w:t xml:space="preserve"> l’année</w:t>
      </w:r>
      <w:r w:rsidRPr="00922D2E">
        <w:rPr>
          <w:rFonts w:asciiTheme="majorHAnsi" w:hAnsiTheme="majorHAnsi"/>
          <w:sz w:val="24"/>
          <w:szCs w:val="24"/>
        </w:rPr>
        <w:t xml:space="preserve"> 2011</w:t>
      </w:r>
      <w:r w:rsidR="00302645">
        <w:rPr>
          <w:rFonts w:asciiTheme="majorHAnsi" w:hAnsiTheme="majorHAnsi"/>
          <w:sz w:val="24"/>
          <w:szCs w:val="24"/>
        </w:rPr>
        <w:t xml:space="preserve"> si la société opte pour la 1ère alternative</w:t>
      </w:r>
      <w:r>
        <w:rPr>
          <w:rFonts w:asciiTheme="majorHAnsi" w:hAnsiTheme="majorHAnsi"/>
          <w:sz w:val="24"/>
          <w:szCs w:val="24"/>
        </w:rPr>
        <w:t>.</w:t>
      </w:r>
      <w:r w:rsidRPr="00922D2E">
        <w:rPr>
          <w:rFonts w:asciiTheme="majorHAnsi" w:hAnsiTheme="majorHAnsi"/>
          <w:sz w:val="24"/>
          <w:szCs w:val="24"/>
        </w:rPr>
        <w:t> </w:t>
      </w:r>
    </w:p>
    <w:p w:rsidR="00C86A4C" w:rsidRPr="00DB4D13" w:rsidRDefault="00C86A4C" w:rsidP="00C86A4C">
      <w:pPr>
        <w:tabs>
          <w:tab w:val="left" w:pos="284"/>
        </w:tabs>
        <w:spacing w:before="120" w:after="120" w:line="360" w:lineRule="auto"/>
        <w:jc w:val="both"/>
        <w:rPr>
          <w:rFonts w:asciiTheme="majorHAnsi" w:hAnsiTheme="majorHAnsi"/>
          <w:b/>
          <w:bCs/>
          <w:i/>
          <w:iCs/>
          <w:sz w:val="24"/>
          <w:szCs w:val="24"/>
        </w:rPr>
      </w:pPr>
      <w:r w:rsidRPr="00DB4D13">
        <w:rPr>
          <w:rFonts w:asciiTheme="majorHAnsi" w:hAnsiTheme="majorHAnsi"/>
          <w:b/>
          <w:bCs/>
          <w:i/>
          <w:iCs/>
          <w:sz w:val="24"/>
          <w:szCs w:val="24"/>
        </w:rPr>
        <w:t xml:space="preserve">Alternative </w:t>
      </w:r>
      <w:r>
        <w:rPr>
          <w:rFonts w:asciiTheme="majorHAnsi" w:hAnsiTheme="majorHAnsi"/>
          <w:b/>
          <w:bCs/>
          <w:i/>
          <w:iCs/>
          <w:sz w:val="24"/>
          <w:szCs w:val="24"/>
        </w:rPr>
        <w:t>2</w:t>
      </w:r>
      <w:r w:rsidRPr="00DB4D13">
        <w:rPr>
          <w:rFonts w:asciiTheme="majorHAnsi" w:hAnsiTheme="majorHAnsi"/>
          <w:b/>
          <w:bCs/>
          <w:i/>
          <w:iCs/>
          <w:sz w:val="24"/>
          <w:szCs w:val="24"/>
        </w:rPr>
        <w:t xml:space="preserve"> : </w:t>
      </w:r>
    </w:p>
    <w:p w:rsidR="00C86A4C" w:rsidRDefault="00C86A4C" w:rsidP="0080588F">
      <w:pPr>
        <w:pStyle w:val="Paragraphedeliste"/>
        <w:numPr>
          <w:ilvl w:val="0"/>
          <w:numId w:val="34"/>
        </w:numPr>
        <w:tabs>
          <w:tab w:val="left" w:pos="0"/>
          <w:tab w:val="left" w:pos="284"/>
        </w:tabs>
        <w:spacing w:before="120" w:after="120" w:line="360" w:lineRule="auto"/>
        <w:ind w:left="-142" w:firstLine="142"/>
        <w:jc w:val="both"/>
        <w:rPr>
          <w:rFonts w:asciiTheme="majorHAnsi" w:hAnsiTheme="majorHAnsi"/>
          <w:sz w:val="24"/>
          <w:szCs w:val="24"/>
        </w:rPr>
      </w:pPr>
      <w:r w:rsidRPr="00C86A4C">
        <w:rPr>
          <w:rFonts w:asciiTheme="majorHAnsi" w:hAnsiTheme="majorHAnsi"/>
          <w:sz w:val="24"/>
          <w:szCs w:val="24"/>
        </w:rPr>
        <w:t xml:space="preserve">Souscription d’un montant de </w:t>
      </w:r>
      <w:r>
        <w:rPr>
          <w:rFonts w:asciiTheme="majorHAnsi" w:hAnsiTheme="majorHAnsi"/>
          <w:sz w:val="24"/>
          <w:szCs w:val="24"/>
        </w:rPr>
        <w:t>12</w:t>
      </w:r>
      <w:r w:rsidRPr="00C86A4C">
        <w:rPr>
          <w:rFonts w:asciiTheme="majorHAnsi" w:hAnsiTheme="majorHAnsi"/>
          <w:sz w:val="24"/>
          <w:szCs w:val="24"/>
        </w:rPr>
        <w:t xml:space="preserve">0.000 </w:t>
      </w:r>
      <w:r>
        <w:rPr>
          <w:rFonts w:asciiTheme="majorHAnsi" w:hAnsiTheme="majorHAnsi"/>
          <w:sz w:val="24"/>
          <w:szCs w:val="24"/>
        </w:rPr>
        <w:t>TND</w:t>
      </w:r>
      <w:r w:rsidRPr="00C86A4C">
        <w:rPr>
          <w:rFonts w:asciiTheme="majorHAnsi" w:hAnsiTheme="majorHAnsi"/>
          <w:sz w:val="24"/>
          <w:szCs w:val="24"/>
        </w:rPr>
        <w:t xml:space="preserve"> au capital initial </w:t>
      </w:r>
      <w:r>
        <w:rPr>
          <w:rFonts w:asciiTheme="majorHAnsi" w:hAnsiTheme="majorHAnsi"/>
          <w:sz w:val="24"/>
          <w:szCs w:val="24"/>
        </w:rPr>
        <w:t>d’une société installée dans une zone de développement régional prioritair</w:t>
      </w:r>
      <w:r w:rsidRPr="00C86A4C">
        <w:rPr>
          <w:rFonts w:asciiTheme="majorHAnsi" w:hAnsiTheme="majorHAnsi"/>
          <w:sz w:val="24"/>
          <w:szCs w:val="24"/>
        </w:rPr>
        <w:t>e</w:t>
      </w:r>
      <w:r>
        <w:rPr>
          <w:rFonts w:asciiTheme="majorHAnsi" w:hAnsiTheme="majorHAnsi"/>
          <w:sz w:val="24"/>
          <w:szCs w:val="24"/>
        </w:rPr>
        <w:t> :</w:t>
      </w:r>
      <w:r w:rsidRPr="00C86A4C">
        <w:rPr>
          <w:rFonts w:asciiTheme="majorHAnsi" w:hAnsiTheme="majorHAnsi"/>
          <w:sz w:val="24"/>
          <w:szCs w:val="24"/>
        </w:rPr>
        <w:t xml:space="preserve"> Conformément aux dispositions de l’article 23 du CII, la souscription au</w:t>
      </w:r>
      <w:r>
        <w:rPr>
          <w:rFonts w:asciiTheme="majorHAnsi" w:hAnsiTheme="majorHAnsi"/>
          <w:sz w:val="24"/>
          <w:szCs w:val="24"/>
        </w:rPr>
        <w:t xml:space="preserve"> </w:t>
      </w:r>
      <w:r w:rsidRPr="00C86A4C">
        <w:rPr>
          <w:rFonts w:asciiTheme="majorHAnsi" w:hAnsiTheme="majorHAnsi"/>
          <w:sz w:val="24"/>
          <w:szCs w:val="24"/>
        </w:rPr>
        <w:t>capital de</w:t>
      </w:r>
      <w:r>
        <w:rPr>
          <w:rFonts w:asciiTheme="majorHAnsi" w:hAnsiTheme="majorHAnsi"/>
          <w:sz w:val="24"/>
          <w:szCs w:val="24"/>
        </w:rPr>
        <w:t xml:space="preserve"> dite </w:t>
      </w:r>
      <w:r w:rsidRPr="00C86A4C">
        <w:rPr>
          <w:rFonts w:asciiTheme="majorHAnsi" w:hAnsiTheme="majorHAnsi"/>
          <w:sz w:val="24"/>
          <w:szCs w:val="24"/>
        </w:rPr>
        <w:t>société donne droit à la déduction de l’assiette imposable des bénéfices investis</w:t>
      </w:r>
      <w:r>
        <w:rPr>
          <w:rFonts w:asciiTheme="majorHAnsi" w:hAnsiTheme="majorHAnsi"/>
          <w:sz w:val="24"/>
          <w:szCs w:val="24"/>
        </w:rPr>
        <w:t xml:space="preserve"> </w:t>
      </w:r>
      <w:r w:rsidRPr="00C86A4C">
        <w:rPr>
          <w:rFonts w:asciiTheme="majorHAnsi" w:hAnsiTheme="majorHAnsi"/>
          <w:sz w:val="24"/>
          <w:szCs w:val="24"/>
        </w:rPr>
        <w:t>et ce, nonobstant le minimum d’IS prévu par l’article 12 de la loi 89-114 du 30/12/1989</w:t>
      </w:r>
      <w:r w:rsidR="00012CC4">
        <w:rPr>
          <w:rFonts w:asciiTheme="majorHAnsi" w:hAnsiTheme="majorHAnsi"/>
          <w:sz w:val="24"/>
          <w:szCs w:val="24"/>
        </w:rPr>
        <w:t xml:space="preserve"> portant promulgation du code IRPP et d’IS</w:t>
      </w:r>
      <w:r w:rsidRPr="00C86A4C">
        <w:rPr>
          <w:rFonts w:asciiTheme="majorHAnsi" w:hAnsiTheme="majorHAnsi"/>
          <w:sz w:val="24"/>
          <w:szCs w:val="24"/>
        </w:rPr>
        <w:t>.</w:t>
      </w:r>
    </w:p>
    <w:p w:rsidR="00C86A4C" w:rsidRPr="00C86A4C" w:rsidRDefault="00C86A4C" w:rsidP="0080588F">
      <w:pPr>
        <w:pStyle w:val="Paragraphedeliste"/>
        <w:numPr>
          <w:ilvl w:val="0"/>
          <w:numId w:val="34"/>
        </w:numPr>
        <w:tabs>
          <w:tab w:val="left" w:pos="0"/>
          <w:tab w:val="left" w:pos="284"/>
        </w:tabs>
        <w:spacing w:before="120" w:after="120" w:line="360" w:lineRule="auto"/>
        <w:ind w:left="-142" w:firstLine="142"/>
        <w:jc w:val="both"/>
        <w:rPr>
          <w:rFonts w:asciiTheme="majorHAnsi" w:hAnsiTheme="majorHAnsi"/>
          <w:sz w:val="24"/>
          <w:szCs w:val="24"/>
        </w:rPr>
      </w:pPr>
      <w:r>
        <w:rPr>
          <w:rFonts w:asciiTheme="majorHAnsi" w:hAnsiTheme="majorHAnsi"/>
          <w:sz w:val="24"/>
          <w:szCs w:val="24"/>
        </w:rPr>
        <w:t>S</w:t>
      </w:r>
      <w:r w:rsidRPr="00C86A4C">
        <w:rPr>
          <w:rFonts w:asciiTheme="majorHAnsi" w:hAnsiTheme="majorHAnsi"/>
          <w:sz w:val="24"/>
          <w:szCs w:val="24"/>
        </w:rPr>
        <w:t>ouscription d’un montant de 1</w:t>
      </w:r>
      <w:r>
        <w:rPr>
          <w:rFonts w:asciiTheme="majorHAnsi" w:hAnsiTheme="majorHAnsi"/>
          <w:sz w:val="24"/>
          <w:szCs w:val="24"/>
        </w:rPr>
        <w:t>0</w:t>
      </w:r>
      <w:r w:rsidRPr="00C86A4C">
        <w:rPr>
          <w:rFonts w:asciiTheme="majorHAnsi" w:hAnsiTheme="majorHAnsi"/>
          <w:sz w:val="24"/>
          <w:szCs w:val="24"/>
        </w:rPr>
        <w:t xml:space="preserve">0.000 </w:t>
      </w:r>
      <w:r>
        <w:rPr>
          <w:rFonts w:asciiTheme="majorHAnsi" w:hAnsiTheme="majorHAnsi"/>
          <w:sz w:val="24"/>
          <w:szCs w:val="24"/>
        </w:rPr>
        <w:t>TND</w:t>
      </w:r>
      <w:r w:rsidRPr="00C86A4C">
        <w:rPr>
          <w:rFonts w:asciiTheme="majorHAnsi" w:hAnsiTheme="majorHAnsi"/>
          <w:sz w:val="24"/>
          <w:szCs w:val="24"/>
        </w:rPr>
        <w:t xml:space="preserve"> au capital initial </w:t>
      </w:r>
      <w:r>
        <w:rPr>
          <w:rFonts w:asciiTheme="majorHAnsi" w:hAnsiTheme="majorHAnsi"/>
          <w:sz w:val="24"/>
          <w:szCs w:val="24"/>
        </w:rPr>
        <w:t>d’une</w:t>
      </w:r>
      <w:r w:rsidRPr="00C86A4C">
        <w:rPr>
          <w:rFonts w:asciiTheme="majorHAnsi" w:hAnsiTheme="majorHAnsi"/>
          <w:sz w:val="24"/>
          <w:szCs w:val="24"/>
        </w:rPr>
        <w:t xml:space="preserve"> société régie par les</w:t>
      </w:r>
      <w:r>
        <w:rPr>
          <w:rFonts w:asciiTheme="majorHAnsi" w:hAnsiTheme="majorHAnsi"/>
          <w:sz w:val="24"/>
          <w:szCs w:val="24"/>
        </w:rPr>
        <w:t xml:space="preserve"> </w:t>
      </w:r>
      <w:r w:rsidRPr="00C86A4C">
        <w:rPr>
          <w:rFonts w:asciiTheme="majorHAnsi" w:hAnsiTheme="majorHAnsi"/>
          <w:sz w:val="24"/>
          <w:szCs w:val="24"/>
        </w:rPr>
        <w:t>avantages communs du CII</w:t>
      </w:r>
      <w:r>
        <w:rPr>
          <w:rFonts w:asciiTheme="majorHAnsi" w:hAnsiTheme="majorHAnsi"/>
          <w:sz w:val="24"/>
          <w:szCs w:val="24"/>
        </w:rPr>
        <w:t> :</w:t>
      </w:r>
      <w:r w:rsidRPr="00C86A4C">
        <w:rPr>
          <w:rFonts w:asciiTheme="majorHAnsi" w:hAnsiTheme="majorHAnsi"/>
          <w:sz w:val="24"/>
          <w:szCs w:val="24"/>
        </w:rPr>
        <w:t xml:space="preserve"> Conformément aux dispositions de l’article 7 du CII, la souscription au capital de</w:t>
      </w:r>
      <w:r>
        <w:rPr>
          <w:rFonts w:asciiTheme="majorHAnsi" w:hAnsiTheme="majorHAnsi"/>
          <w:sz w:val="24"/>
          <w:szCs w:val="24"/>
        </w:rPr>
        <w:t xml:space="preserve"> dite</w:t>
      </w:r>
      <w:r w:rsidRPr="00C86A4C">
        <w:rPr>
          <w:rFonts w:asciiTheme="majorHAnsi" w:hAnsiTheme="majorHAnsi"/>
          <w:sz w:val="24"/>
          <w:szCs w:val="24"/>
        </w:rPr>
        <w:t xml:space="preserve"> société donne droit à la déduction des bénéfices souscrits dans la limite de 35% du bénéfice</w:t>
      </w:r>
      <w:r>
        <w:rPr>
          <w:rFonts w:asciiTheme="majorHAnsi" w:hAnsiTheme="majorHAnsi"/>
          <w:sz w:val="24"/>
          <w:szCs w:val="24"/>
        </w:rPr>
        <w:t xml:space="preserve"> </w:t>
      </w:r>
      <w:r w:rsidRPr="00C86A4C">
        <w:rPr>
          <w:rFonts w:asciiTheme="majorHAnsi" w:hAnsiTheme="majorHAnsi"/>
          <w:sz w:val="24"/>
          <w:szCs w:val="24"/>
        </w:rPr>
        <w:t>net soumis à l’IS et ce, sous réserve du minimum d’IS prévu par l’article 12 de la loi 89-114 du 30/12/1989</w:t>
      </w:r>
      <w:r w:rsidR="00012CC4">
        <w:rPr>
          <w:rFonts w:asciiTheme="majorHAnsi" w:hAnsiTheme="majorHAnsi"/>
          <w:sz w:val="24"/>
          <w:szCs w:val="24"/>
        </w:rPr>
        <w:t xml:space="preserve"> portant promulgation du code IRPP et d’IS</w:t>
      </w:r>
      <w:r>
        <w:rPr>
          <w:rFonts w:asciiTheme="majorHAnsi" w:hAnsiTheme="majorHAnsi"/>
          <w:sz w:val="24"/>
          <w:szCs w:val="24"/>
        </w:rPr>
        <w:t xml:space="preserve"> </w:t>
      </w:r>
      <w:r w:rsidRPr="00C86A4C">
        <w:rPr>
          <w:rFonts w:asciiTheme="majorHAnsi" w:hAnsiTheme="majorHAnsi"/>
          <w:sz w:val="24"/>
          <w:szCs w:val="24"/>
        </w:rPr>
        <w:t>(20%).</w:t>
      </w:r>
    </w:p>
    <w:tbl>
      <w:tblPr>
        <w:tblStyle w:val="Grilledutableau"/>
        <w:tblW w:w="7883" w:type="dxa"/>
        <w:tblInd w:w="730" w:type="dxa"/>
        <w:tblLook w:val="04A0"/>
      </w:tblPr>
      <w:tblGrid>
        <w:gridCol w:w="5757"/>
        <w:gridCol w:w="2126"/>
      </w:tblGrid>
      <w:tr w:rsidR="00055B54" w:rsidTr="00055B54">
        <w:trPr>
          <w:trHeight w:val="408"/>
        </w:trPr>
        <w:tc>
          <w:tcPr>
            <w:tcW w:w="5757" w:type="dxa"/>
            <w:vAlign w:val="center"/>
          </w:tcPr>
          <w:p w:rsidR="00055B54" w:rsidRPr="00AC3F8A" w:rsidRDefault="00055B54" w:rsidP="00302645">
            <w:pPr>
              <w:rPr>
                <w:rFonts w:asciiTheme="majorHAnsi" w:hAnsiTheme="majorHAnsi"/>
                <w:b/>
                <w:bCs/>
                <w:sz w:val="24"/>
                <w:szCs w:val="24"/>
              </w:rPr>
            </w:pPr>
            <w:r w:rsidRPr="00AC3F8A">
              <w:rPr>
                <w:rFonts w:asciiTheme="majorHAnsi" w:hAnsiTheme="majorHAnsi"/>
                <w:b/>
                <w:bCs/>
                <w:sz w:val="24"/>
                <w:szCs w:val="24"/>
              </w:rPr>
              <w:t xml:space="preserve">Bénéfice fiscal avant déduction des bénéfices réinvestis : </w:t>
            </w:r>
          </w:p>
        </w:tc>
        <w:tc>
          <w:tcPr>
            <w:tcW w:w="2126" w:type="dxa"/>
            <w:vAlign w:val="center"/>
          </w:tcPr>
          <w:p w:rsidR="00F52163" w:rsidRPr="00C45958" w:rsidRDefault="00F52163" w:rsidP="00F52163">
            <w:pPr>
              <w:jc w:val="right"/>
              <w:rPr>
                <w:b/>
                <w:bCs/>
              </w:rPr>
            </w:pPr>
            <w:r>
              <w:rPr>
                <w:b/>
                <w:bCs/>
              </w:rPr>
              <w:t>839</w:t>
            </w:r>
            <w:r w:rsidRPr="00C45958">
              <w:rPr>
                <w:b/>
                <w:bCs/>
              </w:rPr>
              <w:t>.</w:t>
            </w:r>
            <w:r>
              <w:rPr>
                <w:b/>
                <w:bCs/>
              </w:rPr>
              <w:t>220</w:t>
            </w:r>
            <w:r w:rsidRPr="00C45958">
              <w:rPr>
                <w:b/>
                <w:bCs/>
              </w:rPr>
              <w:t>,</w:t>
            </w:r>
            <w:r>
              <w:rPr>
                <w:b/>
                <w:bCs/>
              </w:rPr>
              <w:t>588</w:t>
            </w:r>
          </w:p>
          <w:p w:rsidR="00055B54" w:rsidRPr="00C45958" w:rsidRDefault="00055B54" w:rsidP="00CE25C2">
            <w:pPr>
              <w:jc w:val="right"/>
            </w:pPr>
          </w:p>
        </w:tc>
      </w:tr>
      <w:tr w:rsidR="00D96E96" w:rsidRPr="005F2FF7" w:rsidTr="00055B54">
        <w:trPr>
          <w:trHeight w:val="408"/>
        </w:trPr>
        <w:tc>
          <w:tcPr>
            <w:tcW w:w="5757" w:type="dxa"/>
            <w:vAlign w:val="center"/>
          </w:tcPr>
          <w:p w:rsidR="00D96E96" w:rsidRDefault="00D96E96" w:rsidP="00D96E96">
            <w:pPr>
              <w:jc w:val="both"/>
              <w:rPr>
                <w:rFonts w:asciiTheme="majorHAnsi" w:hAnsiTheme="majorHAnsi"/>
                <w:sz w:val="24"/>
                <w:szCs w:val="24"/>
              </w:rPr>
            </w:pPr>
            <w:r w:rsidRPr="00AC3F8A">
              <w:rPr>
                <w:rFonts w:asciiTheme="majorHAnsi" w:hAnsiTheme="majorHAnsi"/>
                <w:sz w:val="24"/>
                <w:szCs w:val="24"/>
              </w:rPr>
              <w:t>Déduction de</w:t>
            </w:r>
            <w:r>
              <w:rPr>
                <w:rFonts w:asciiTheme="majorHAnsi" w:hAnsiTheme="majorHAnsi"/>
                <w:sz w:val="24"/>
                <w:szCs w:val="24"/>
              </w:rPr>
              <w:t>s</w:t>
            </w:r>
            <w:r w:rsidRPr="00AC3F8A">
              <w:rPr>
                <w:rFonts w:asciiTheme="majorHAnsi" w:hAnsiTheme="majorHAnsi"/>
                <w:sz w:val="24"/>
                <w:szCs w:val="24"/>
              </w:rPr>
              <w:t xml:space="preserve"> bénéfice</w:t>
            </w:r>
            <w:r>
              <w:rPr>
                <w:rFonts w:asciiTheme="majorHAnsi" w:hAnsiTheme="majorHAnsi"/>
                <w:sz w:val="24"/>
                <w:szCs w:val="24"/>
              </w:rPr>
              <w:t xml:space="preserve">s réinvestis dans le </w:t>
            </w:r>
            <w:r w:rsidRPr="00DB4D13">
              <w:rPr>
                <w:rFonts w:asciiTheme="majorHAnsi" w:hAnsiTheme="majorHAnsi"/>
                <w:sz w:val="24"/>
                <w:szCs w:val="24"/>
              </w:rPr>
              <w:t>capital initial</w:t>
            </w:r>
            <w:r>
              <w:rPr>
                <w:rFonts w:asciiTheme="majorHAnsi" w:hAnsiTheme="majorHAnsi"/>
                <w:sz w:val="24"/>
                <w:szCs w:val="24"/>
              </w:rPr>
              <w:t xml:space="preserve"> d’une société </w:t>
            </w:r>
            <w:r w:rsidRPr="00C86A4C">
              <w:rPr>
                <w:rFonts w:asciiTheme="majorHAnsi" w:hAnsiTheme="majorHAnsi"/>
                <w:sz w:val="24"/>
                <w:szCs w:val="24"/>
              </w:rPr>
              <w:t>régie par les</w:t>
            </w:r>
            <w:r>
              <w:rPr>
                <w:rFonts w:asciiTheme="majorHAnsi" w:hAnsiTheme="majorHAnsi"/>
                <w:sz w:val="24"/>
                <w:szCs w:val="24"/>
              </w:rPr>
              <w:t xml:space="preserve"> </w:t>
            </w:r>
            <w:r w:rsidRPr="00C86A4C">
              <w:rPr>
                <w:rFonts w:asciiTheme="majorHAnsi" w:hAnsiTheme="majorHAnsi"/>
                <w:sz w:val="24"/>
                <w:szCs w:val="24"/>
              </w:rPr>
              <w:t>avantages communs du CII</w:t>
            </w:r>
            <w:r>
              <w:rPr>
                <w:rFonts w:asciiTheme="majorHAnsi" w:hAnsiTheme="majorHAnsi"/>
                <w:sz w:val="24"/>
                <w:szCs w:val="24"/>
              </w:rPr>
              <w:t xml:space="preserve"> : </w:t>
            </w:r>
            <w:r w:rsidRPr="009631F4">
              <w:rPr>
                <w:rFonts w:asciiTheme="majorHAnsi" w:hAnsiTheme="majorHAnsi"/>
                <w:b/>
                <w:bCs/>
                <w:i/>
                <w:iCs/>
                <w:sz w:val="24"/>
                <w:szCs w:val="24"/>
              </w:rPr>
              <w:t>35%</w:t>
            </w:r>
            <w:r>
              <w:rPr>
                <w:rFonts w:asciiTheme="majorHAnsi" w:hAnsiTheme="majorHAnsi"/>
                <w:sz w:val="24"/>
                <w:szCs w:val="24"/>
              </w:rPr>
              <w:t xml:space="preserve"> sous réserve la min D’impôt</w:t>
            </w:r>
          </w:p>
          <w:p w:rsidR="00D96E96" w:rsidRDefault="00D96E96" w:rsidP="00D96E96">
            <w:pPr>
              <w:jc w:val="both"/>
              <w:rPr>
                <w:rFonts w:asciiTheme="majorHAnsi" w:hAnsiTheme="majorHAnsi"/>
                <w:sz w:val="24"/>
                <w:szCs w:val="24"/>
              </w:rPr>
            </w:pPr>
            <w:r>
              <w:rPr>
                <w:rFonts w:asciiTheme="majorHAnsi" w:hAnsiTheme="majorHAnsi"/>
                <w:sz w:val="24"/>
                <w:szCs w:val="24"/>
              </w:rPr>
              <w:t>Montant investi = 100.000 TND</w:t>
            </w:r>
          </w:p>
          <w:p w:rsidR="00D96E96" w:rsidRDefault="00D96E96" w:rsidP="003C3782">
            <w:pPr>
              <w:jc w:val="both"/>
              <w:rPr>
                <w:rFonts w:asciiTheme="majorHAnsi" w:hAnsiTheme="majorHAnsi"/>
                <w:sz w:val="24"/>
                <w:szCs w:val="24"/>
              </w:rPr>
            </w:pPr>
            <w:r>
              <w:rPr>
                <w:rFonts w:asciiTheme="majorHAnsi" w:hAnsiTheme="majorHAnsi"/>
                <w:sz w:val="24"/>
                <w:szCs w:val="24"/>
              </w:rPr>
              <w:t xml:space="preserve">Plafond = </w:t>
            </w:r>
            <w:r w:rsidR="003C3782">
              <w:rPr>
                <w:rFonts w:asciiTheme="majorHAnsi" w:hAnsiTheme="majorHAnsi"/>
                <w:sz w:val="24"/>
                <w:szCs w:val="24"/>
              </w:rPr>
              <w:t>83</w:t>
            </w:r>
            <w:r>
              <w:rPr>
                <w:rFonts w:asciiTheme="majorHAnsi" w:hAnsiTheme="majorHAnsi"/>
                <w:sz w:val="24"/>
                <w:szCs w:val="24"/>
              </w:rPr>
              <w:t xml:space="preserve">9.220,588 </w:t>
            </w:r>
            <w:r w:rsidRPr="00922D2E">
              <w:rPr>
                <w:rFonts w:asciiTheme="majorHAnsi" w:hAnsiTheme="majorHAnsi"/>
                <w:sz w:val="24"/>
                <w:szCs w:val="24"/>
              </w:rPr>
              <w:t>x</w:t>
            </w:r>
            <w:r>
              <w:rPr>
                <w:rFonts w:asciiTheme="majorHAnsi" w:hAnsiTheme="majorHAnsi"/>
                <w:sz w:val="24"/>
                <w:szCs w:val="24"/>
              </w:rPr>
              <w:t xml:space="preserve"> </w:t>
            </w:r>
            <w:r w:rsidRPr="00922D2E">
              <w:rPr>
                <w:rFonts w:asciiTheme="majorHAnsi" w:hAnsiTheme="majorHAnsi"/>
                <w:sz w:val="24"/>
                <w:szCs w:val="24"/>
              </w:rPr>
              <w:t>3</w:t>
            </w:r>
            <w:r>
              <w:rPr>
                <w:rFonts w:asciiTheme="majorHAnsi" w:hAnsiTheme="majorHAnsi"/>
                <w:sz w:val="24"/>
                <w:szCs w:val="24"/>
              </w:rPr>
              <w:t>5</w:t>
            </w:r>
            <w:r w:rsidRPr="00922D2E">
              <w:rPr>
                <w:rFonts w:asciiTheme="majorHAnsi" w:hAnsiTheme="majorHAnsi"/>
                <w:sz w:val="24"/>
                <w:szCs w:val="24"/>
              </w:rPr>
              <w:t>%</w:t>
            </w:r>
            <w:r>
              <w:rPr>
                <w:rFonts w:asciiTheme="majorHAnsi" w:hAnsiTheme="majorHAnsi"/>
                <w:sz w:val="24"/>
                <w:szCs w:val="24"/>
              </w:rPr>
              <w:t xml:space="preserve"> = 2</w:t>
            </w:r>
            <w:r w:rsidR="003C3782">
              <w:rPr>
                <w:rFonts w:asciiTheme="majorHAnsi" w:hAnsiTheme="majorHAnsi"/>
                <w:sz w:val="24"/>
                <w:szCs w:val="24"/>
              </w:rPr>
              <w:t>93</w:t>
            </w:r>
            <w:r>
              <w:rPr>
                <w:rFonts w:asciiTheme="majorHAnsi" w:hAnsiTheme="majorHAnsi"/>
                <w:sz w:val="24"/>
                <w:szCs w:val="24"/>
              </w:rPr>
              <w:t>.727,205</w:t>
            </w:r>
          </w:p>
          <w:p w:rsidR="00D96E96" w:rsidRDefault="00D96E96" w:rsidP="0080588F">
            <w:pPr>
              <w:jc w:val="both"/>
              <w:rPr>
                <w:rFonts w:asciiTheme="majorHAnsi" w:hAnsiTheme="majorHAnsi"/>
                <w:sz w:val="24"/>
                <w:szCs w:val="24"/>
              </w:rPr>
            </w:pPr>
            <w:r w:rsidRPr="008332CC">
              <w:rPr>
                <w:rFonts w:asciiTheme="majorHAnsi" w:hAnsiTheme="majorHAnsi"/>
                <w:b/>
                <w:bCs/>
                <w:i/>
                <w:iCs/>
                <w:sz w:val="24"/>
                <w:szCs w:val="24"/>
              </w:rPr>
              <w:t xml:space="preserve">Argumentations : </w:t>
            </w:r>
            <w:r>
              <w:rPr>
                <w:rFonts w:asciiTheme="majorHAnsi" w:hAnsiTheme="majorHAnsi"/>
                <w:sz w:val="24"/>
                <w:szCs w:val="24"/>
              </w:rPr>
              <w:t>article 7 du code CII.</w:t>
            </w:r>
          </w:p>
          <w:p w:rsidR="0080588F" w:rsidRPr="00AC3F8A" w:rsidRDefault="0080588F" w:rsidP="0080588F">
            <w:pPr>
              <w:jc w:val="both"/>
              <w:rPr>
                <w:rFonts w:asciiTheme="majorHAnsi" w:hAnsiTheme="majorHAnsi"/>
                <w:sz w:val="24"/>
                <w:szCs w:val="24"/>
              </w:rPr>
            </w:pPr>
          </w:p>
        </w:tc>
        <w:tc>
          <w:tcPr>
            <w:tcW w:w="2126" w:type="dxa"/>
            <w:vAlign w:val="center"/>
          </w:tcPr>
          <w:p w:rsidR="00D96E96" w:rsidRDefault="00D96E96" w:rsidP="00CE25C2">
            <w:pPr>
              <w:jc w:val="right"/>
              <w:rPr>
                <w:b/>
                <w:bCs/>
              </w:rPr>
            </w:pPr>
            <w:r>
              <w:rPr>
                <w:b/>
                <w:bCs/>
              </w:rPr>
              <w:t>100.000,000</w:t>
            </w:r>
          </w:p>
        </w:tc>
      </w:tr>
      <w:tr w:rsidR="00D96E96" w:rsidRPr="005F2FF7" w:rsidTr="00055B54">
        <w:trPr>
          <w:trHeight w:val="408"/>
        </w:trPr>
        <w:tc>
          <w:tcPr>
            <w:tcW w:w="5757" w:type="dxa"/>
            <w:vAlign w:val="center"/>
          </w:tcPr>
          <w:p w:rsidR="00D96E96" w:rsidRPr="005F2FF7" w:rsidRDefault="00D96E96" w:rsidP="00D96E96">
            <w:pPr>
              <w:jc w:val="both"/>
              <w:rPr>
                <w:rFonts w:asciiTheme="majorHAnsi" w:hAnsiTheme="majorHAnsi"/>
                <w:b/>
                <w:bCs/>
                <w:sz w:val="24"/>
                <w:szCs w:val="24"/>
              </w:rPr>
            </w:pPr>
            <w:r>
              <w:rPr>
                <w:rFonts w:asciiTheme="majorHAnsi" w:hAnsiTheme="majorHAnsi"/>
                <w:b/>
                <w:bCs/>
                <w:sz w:val="24"/>
                <w:szCs w:val="24"/>
              </w:rPr>
              <w:t xml:space="preserve">Reliquat </w:t>
            </w:r>
          </w:p>
        </w:tc>
        <w:tc>
          <w:tcPr>
            <w:tcW w:w="2126" w:type="dxa"/>
            <w:vAlign w:val="center"/>
          </w:tcPr>
          <w:p w:rsidR="00D96E96" w:rsidRPr="005F2FF7" w:rsidRDefault="00D96E96" w:rsidP="00662365">
            <w:pPr>
              <w:jc w:val="right"/>
              <w:rPr>
                <w:b/>
                <w:bCs/>
              </w:rPr>
            </w:pPr>
            <w:r>
              <w:rPr>
                <w:b/>
                <w:bCs/>
              </w:rPr>
              <w:t>739</w:t>
            </w:r>
            <w:r w:rsidRPr="00C45958">
              <w:rPr>
                <w:b/>
                <w:bCs/>
              </w:rPr>
              <w:t>.</w:t>
            </w:r>
            <w:r>
              <w:rPr>
                <w:b/>
                <w:bCs/>
              </w:rPr>
              <w:t>220</w:t>
            </w:r>
            <w:r w:rsidRPr="00C45958">
              <w:rPr>
                <w:b/>
                <w:bCs/>
              </w:rPr>
              <w:t>,</w:t>
            </w:r>
            <w:r>
              <w:rPr>
                <w:b/>
                <w:bCs/>
              </w:rPr>
              <w:t>588</w:t>
            </w:r>
          </w:p>
        </w:tc>
      </w:tr>
      <w:tr w:rsidR="00055B54" w:rsidRPr="005F2FF7" w:rsidTr="00055B54">
        <w:trPr>
          <w:trHeight w:val="408"/>
        </w:trPr>
        <w:tc>
          <w:tcPr>
            <w:tcW w:w="5757" w:type="dxa"/>
            <w:vAlign w:val="center"/>
          </w:tcPr>
          <w:p w:rsidR="00055B54" w:rsidRDefault="00055B54" w:rsidP="00CE25C2">
            <w:pPr>
              <w:jc w:val="both"/>
              <w:rPr>
                <w:rFonts w:asciiTheme="majorHAnsi" w:hAnsiTheme="majorHAnsi"/>
                <w:sz w:val="24"/>
                <w:szCs w:val="24"/>
              </w:rPr>
            </w:pPr>
            <w:r w:rsidRPr="00AC3F8A">
              <w:rPr>
                <w:rFonts w:asciiTheme="majorHAnsi" w:hAnsiTheme="majorHAnsi"/>
                <w:sz w:val="24"/>
                <w:szCs w:val="24"/>
              </w:rPr>
              <w:t>Déduction de</w:t>
            </w:r>
            <w:r>
              <w:rPr>
                <w:rFonts w:asciiTheme="majorHAnsi" w:hAnsiTheme="majorHAnsi"/>
                <w:sz w:val="24"/>
                <w:szCs w:val="24"/>
              </w:rPr>
              <w:t>s</w:t>
            </w:r>
            <w:r w:rsidRPr="00AC3F8A">
              <w:rPr>
                <w:rFonts w:asciiTheme="majorHAnsi" w:hAnsiTheme="majorHAnsi"/>
                <w:sz w:val="24"/>
                <w:szCs w:val="24"/>
              </w:rPr>
              <w:t xml:space="preserve"> bénéfice</w:t>
            </w:r>
            <w:r>
              <w:rPr>
                <w:rFonts w:asciiTheme="majorHAnsi" w:hAnsiTheme="majorHAnsi"/>
                <w:sz w:val="24"/>
                <w:szCs w:val="24"/>
              </w:rPr>
              <w:t xml:space="preserve">s réinvestis dans le </w:t>
            </w:r>
            <w:r w:rsidRPr="00DB4D13">
              <w:rPr>
                <w:rFonts w:asciiTheme="majorHAnsi" w:hAnsiTheme="majorHAnsi"/>
                <w:sz w:val="24"/>
                <w:szCs w:val="24"/>
              </w:rPr>
              <w:t>capital initial</w:t>
            </w:r>
            <w:r>
              <w:rPr>
                <w:rFonts w:asciiTheme="majorHAnsi" w:hAnsiTheme="majorHAnsi"/>
                <w:sz w:val="24"/>
                <w:szCs w:val="24"/>
              </w:rPr>
              <w:t xml:space="preserve"> d’une société installée dans une zone de développement régional prioritair</w:t>
            </w:r>
            <w:r w:rsidRPr="00C86A4C">
              <w:rPr>
                <w:rFonts w:asciiTheme="majorHAnsi" w:hAnsiTheme="majorHAnsi"/>
                <w:sz w:val="24"/>
                <w:szCs w:val="24"/>
              </w:rPr>
              <w:t>e</w:t>
            </w:r>
            <w:r>
              <w:rPr>
                <w:rFonts w:asciiTheme="majorHAnsi" w:hAnsiTheme="majorHAnsi"/>
                <w:sz w:val="24"/>
                <w:szCs w:val="24"/>
              </w:rPr>
              <w:t xml:space="preserve"> : </w:t>
            </w:r>
            <w:r w:rsidRPr="009631F4">
              <w:rPr>
                <w:rFonts w:asciiTheme="majorHAnsi" w:hAnsiTheme="majorHAnsi"/>
                <w:b/>
                <w:bCs/>
                <w:i/>
                <w:iCs/>
                <w:sz w:val="24"/>
                <w:szCs w:val="24"/>
              </w:rPr>
              <w:t>100%</w:t>
            </w:r>
            <w:r>
              <w:rPr>
                <w:rFonts w:asciiTheme="majorHAnsi" w:hAnsiTheme="majorHAnsi"/>
                <w:sz w:val="24"/>
                <w:szCs w:val="24"/>
              </w:rPr>
              <w:t xml:space="preserve"> sans min D’impôt.</w:t>
            </w:r>
          </w:p>
          <w:p w:rsidR="00055B54" w:rsidRDefault="00055B54" w:rsidP="0080588F">
            <w:pPr>
              <w:jc w:val="both"/>
              <w:rPr>
                <w:rFonts w:asciiTheme="majorHAnsi" w:hAnsiTheme="majorHAnsi"/>
                <w:sz w:val="24"/>
                <w:szCs w:val="24"/>
              </w:rPr>
            </w:pPr>
            <w:r w:rsidRPr="008332CC">
              <w:rPr>
                <w:rFonts w:asciiTheme="majorHAnsi" w:hAnsiTheme="majorHAnsi"/>
                <w:b/>
                <w:bCs/>
                <w:i/>
                <w:iCs/>
                <w:sz w:val="24"/>
                <w:szCs w:val="24"/>
              </w:rPr>
              <w:t xml:space="preserve">Argumentations : </w:t>
            </w:r>
            <w:r>
              <w:rPr>
                <w:rFonts w:asciiTheme="majorHAnsi" w:hAnsiTheme="majorHAnsi"/>
                <w:sz w:val="24"/>
                <w:szCs w:val="24"/>
              </w:rPr>
              <w:t>article 23 du code CII.</w:t>
            </w:r>
          </w:p>
          <w:p w:rsidR="0080588F" w:rsidRPr="00AC3F8A" w:rsidRDefault="0080588F" w:rsidP="0080588F">
            <w:pPr>
              <w:jc w:val="both"/>
              <w:rPr>
                <w:rFonts w:asciiTheme="majorHAnsi" w:hAnsiTheme="majorHAnsi"/>
                <w:sz w:val="24"/>
                <w:szCs w:val="24"/>
              </w:rPr>
            </w:pPr>
          </w:p>
        </w:tc>
        <w:tc>
          <w:tcPr>
            <w:tcW w:w="2126" w:type="dxa"/>
            <w:vAlign w:val="center"/>
          </w:tcPr>
          <w:p w:rsidR="00055B54" w:rsidRPr="005F2FF7" w:rsidRDefault="00055B54" w:rsidP="00CE25C2">
            <w:pPr>
              <w:jc w:val="right"/>
              <w:rPr>
                <w:b/>
                <w:bCs/>
              </w:rPr>
            </w:pPr>
            <w:r>
              <w:rPr>
                <w:b/>
                <w:bCs/>
              </w:rPr>
              <w:t>120.000,000</w:t>
            </w:r>
          </w:p>
        </w:tc>
      </w:tr>
      <w:tr w:rsidR="00F52163" w:rsidRPr="005F2FF7" w:rsidTr="00055B54">
        <w:trPr>
          <w:trHeight w:val="408"/>
        </w:trPr>
        <w:tc>
          <w:tcPr>
            <w:tcW w:w="5757" w:type="dxa"/>
            <w:vAlign w:val="center"/>
          </w:tcPr>
          <w:p w:rsidR="00F52163" w:rsidRPr="005F2FF7" w:rsidRDefault="00F52163" w:rsidP="009B4F09">
            <w:pPr>
              <w:jc w:val="both"/>
              <w:rPr>
                <w:rFonts w:asciiTheme="majorHAnsi" w:hAnsiTheme="majorHAnsi"/>
                <w:b/>
                <w:bCs/>
                <w:sz w:val="24"/>
                <w:szCs w:val="24"/>
              </w:rPr>
            </w:pPr>
            <w:r w:rsidRPr="005F2FF7">
              <w:rPr>
                <w:rFonts w:asciiTheme="majorHAnsi" w:hAnsiTheme="majorHAnsi"/>
                <w:b/>
                <w:bCs/>
                <w:sz w:val="24"/>
                <w:szCs w:val="24"/>
              </w:rPr>
              <w:t xml:space="preserve">Bénéfice fiscal </w:t>
            </w:r>
            <w:r>
              <w:rPr>
                <w:rFonts w:asciiTheme="majorHAnsi" w:hAnsiTheme="majorHAnsi"/>
                <w:b/>
                <w:bCs/>
                <w:sz w:val="24"/>
                <w:szCs w:val="24"/>
              </w:rPr>
              <w:t xml:space="preserve">imposable </w:t>
            </w:r>
          </w:p>
        </w:tc>
        <w:tc>
          <w:tcPr>
            <w:tcW w:w="2126" w:type="dxa"/>
            <w:vAlign w:val="center"/>
          </w:tcPr>
          <w:p w:rsidR="00F52163" w:rsidRPr="005F2FF7" w:rsidRDefault="00F52163" w:rsidP="009B4F09">
            <w:pPr>
              <w:jc w:val="right"/>
              <w:rPr>
                <w:b/>
                <w:bCs/>
              </w:rPr>
            </w:pPr>
            <w:r>
              <w:rPr>
                <w:b/>
                <w:bCs/>
              </w:rPr>
              <w:t>619</w:t>
            </w:r>
            <w:r w:rsidRPr="00C45958">
              <w:rPr>
                <w:b/>
                <w:bCs/>
              </w:rPr>
              <w:t>.</w:t>
            </w:r>
            <w:r>
              <w:rPr>
                <w:b/>
                <w:bCs/>
              </w:rPr>
              <w:t>220</w:t>
            </w:r>
            <w:r w:rsidRPr="00C45958">
              <w:rPr>
                <w:b/>
                <w:bCs/>
              </w:rPr>
              <w:t>,</w:t>
            </w:r>
            <w:r>
              <w:rPr>
                <w:b/>
                <w:bCs/>
              </w:rPr>
              <w:t>588</w:t>
            </w:r>
          </w:p>
        </w:tc>
      </w:tr>
      <w:tr w:rsidR="00F52163" w:rsidRPr="005F2FF7" w:rsidTr="00055B54">
        <w:trPr>
          <w:trHeight w:val="408"/>
        </w:trPr>
        <w:tc>
          <w:tcPr>
            <w:tcW w:w="5757" w:type="dxa"/>
            <w:vAlign w:val="center"/>
          </w:tcPr>
          <w:p w:rsidR="00F52163" w:rsidRPr="005F2FF7" w:rsidRDefault="00F52163" w:rsidP="00CE25C2">
            <w:pPr>
              <w:jc w:val="both"/>
              <w:rPr>
                <w:rFonts w:asciiTheme="majorHAnsi" w:hAnsiTheme="majorHAnsi"/>
                <w:b/>
                <w:bCs/>
                <w:sz w:val="24"/>
                <w:szCs w:val="24"/>
              </w:rPr>
            </w:pPr>
            <w:r w:rsidRPr="005F2FF7">
              <w:rPr>
                <w:rFonts w:asciiTheme="majorHAnsi" w:hAnsiTheme="majorHAnsi"/>
                <w:b/>
                <w:bCs/>
                <w:sz w:val="24"/>
                <w:szCs w:val="24"/>
              </w:rPr>
              <w:t>Bénéfice fiscal arrondi au dinar inferieur</w:t>
            </w:r>
          </w:p>
        </w:tc>
        <w:tc>
          <w:tcPr>
            <w:tcW w:w="2126" w:type="dxa"/>
            <w:vAlign w:val="center"/>
          </w:tcPr>
          <w:p w:rsidR="00F52163" w:rsidRPr="005F2FF7" w:rsidRDefault="00F52163" w:rsidP="00CE25C2">
            <w:pPr>
              <w:jc w:val="right"/>
              <w:rPr>
                <w:b/>
                <w:bCs/>
              </w:rPr>
            </w:pPr>
            <w:r>
              <w:rPr>
                <w:b/>
                <w:bCs/>
              </w:rPr>
              <w:t>619</w:t>
            </w:r>
            <w:r w:rsidRPr="00C45958">
              <w:rPr>
                <w:b/>
                <w:bCs/>
              </w:rPr>
              <w:t>.</w:t>
            </w:r>
            <w:r>
              <w:rPr>
                <w:b/>
                <w:bCs/>
              </w:rPr>
              <w:t>220</w:t>
            </w:r>
            <w:r w:rsidRPr="00C45958">
              <w:rPr>
                <w:b/>
                <w:bCs/>
              </w:rPr>
              <w:t>,</w:t>
            </w:r>
            <w:r>
              <w:rPr>
                <w:b/>
                <w:bCs/>
              </w:rPr>
              <w:t>000</w:t>
            </w:r>
          </w:p>
        </w:tc>
      </w:tr>
      <w:tr w:rsidR="00F52163" w:rsidRPr="005F2FF7" w:rsidTr="00055B54">
        <w:trPr>
          <w:trHeight w:val="408"/>
        </w:trPr>
        <w:tc>
          <w:tcPr>
            <w:tcW w:w="5757" w:type="dxa"/>
            <w:vAlign w:val="center"/>
          </w:tcPr>
          <w:p w:rsidR="00F52163" w:rsidRPr="008300B2" w:rsidRDefault="00F52163" w:rsidP="006E4AEB">
            <w:pPr>
              <w:jc w:val="both"/>
              <w:rPr>
                <w:rFonts w:asciiTheme="majorHAnsi" w:hAnsiTheme="majorHAnsi"/>
                <w:sz w:val="24"/>
                <w:szCs w:val="24"/>
              </w:rPr>
            </w:pPr>
            <w:r w:rsidRPr="00922D2E">
              <w:rPr>
                <w:rFonts w:asciiTheme="majorHAnsi" w:hAnsiTheme="majorHAnsi"/>
                <w:sz w:val="24"/>
                <w:szCs w:val="24"/>
              </w:rPr>
              <w:t xml:space="preserve">IS dû : </w:t>
            </w:r>
            <w:r w:rsidR="006E4AEB">
              <w:rPr>
                <w:rFonts w:asciiTheme="majorHAnsi" w:hAnsiTheme="majorHAnsi"/>
                <w:sz w:val="24"/>
                <w:szCs w:val="24"/>
              </w:rPr>
              <w:t>6</w:t>
            </w:r>
            <w:r>
              <w:rPr>
                <w:rFonts w:asciiTheme="majorHAnsi" w:hAnsiTheme="majorHAnsi"/>
                <w:sz w:val="24"/>
                <w:szCs w:val="24"/>
              </w:rPr>
              <w:t>19</w:t>
            </w:r>
            <w:r w:rsidRPr="00922D2E">
              <w:rPr>
                <w:rFonts w:asciiTheme="majorHAnsi" w:hAnsiTheme="majorHAnsi"/>
                <w:sz w:val="24"/>
                <w:szCs w:val="24"/>
              </w:rPr>
              <w:t>.</w:t>
            </w:r>
            <w:r>
              <w:rPr>
                <w:rFonts w:asciiTheme="majorHAnsi" w:hAnsiTheme="majorHAnsi"/>
                <w:sz w:val="24"/>
                <w:szCs w:val="24"/>
              </w:rPr>
              <w:t>220</w:t>
            </w:r>
            <w:r w:rsidRPr="00922D2E">
              <w:rPr>
                <w:rFonts w:asciiTheme="majorHAnsi" w:hAnsiTheme="majorHAnsi"/>
                <w:sz w:val="24"/>
                <w:szCs w:val="24"/>
              </w:rPr>
              <w:t>,000D D x</w:t>
            </w:r>
            <w:r>
              <w:rPr>
                <w:rFonts w:asciiTheme="majorHAnsi" w:hAnsiTheme="majorHAnsi"/>
                <w:sz w:val="24"/>
                <w:szCs w:val="24"/>
              </w:rPr>
              <w:t xml:space="preserve"> </w:t>
            </w:r>
            <w:r w:rsidRPr="00922D2E">
              <w:rPr>
                <w:rFonts w:asciiTheme="majorHAnsi" w:hAnsiTheme="majorHAnsi"/>
                <w:sz w:val="24"/>
                <w:szCs w:val="24"/>
              </w:rPr>
              <w:t xml:space="preserve">30% </w:t>
            </w:r>
          </w:p>
        </w:tc>
        <w:tc>
          <w:tcPr>
            <w:tcW w:w="2126" w:type="dxa"/>
            <w:vAlign w:val="center"/>
          </w:tcPr>
          <w:p w:rsidR="00F52163" w:rsidRPr="005F2FF7" w:rsidRDefault="00F52163" w:rsidP="009B4F09">
            <w:pPr>
              <w:jc w:val="right"/>
              <w:rPr>
                <w:b/>
                <w:bCs/>
              </w:rPr>
            </w:pPr>
            <w:r>
              <w:t>185</w:t>
            </w:r>
            <w:r w:rsidRPr="005F2FF7">
              <w:t>.</w:t>
            </w:r>
            <w:r>
              <w:t>766</w:t>
            </w:r>
            <w:r w:rsidRPr="005F2FF7">
              <w:t>,</w:t>
            </w:r>
            <w:r>
              <w:t>0</w:t>
            </w:r>
            <w:r w:rsidRPr="005F2FF7">
              <w:t>00</w:t>
            </w:r>
          </w:p>
        </w:tc>
      </w:tr>
      <w:tr w:rsidR="00F52163" w:rsidRPr="005F2FF7" w:rsidTr="00055B54">
        <w:trPr>
          <w:trHeight w:val="408"/>
        </w:trPr>
        <w:tc>
          <w:tcPr>
            <w:tcW w:w="5757" w:type="dxa"/>
            <w:vAlign w:val="center"/>
          </w:tcPr>
          <w:p w:rsidR="0080588F" w:rsidRPr="005E3855" w:rsidRDefault="00F52163" w:rsidP="005E3855">
            <w:pPr>
              <w:jc w:val="both"/>
              <w:rPr>
                <w:rFonts w:asciiTheme="majorHAnsi" w:hAnsiTheme="majorHAnsi"/>
                <w:b/>
                <w:bCs/>
                <w:sz w:val="24"/>
                <w:szCs w:val="24"/>
              </w:rPr>
            </w:pPr>
            <w:r w:rsidRPr="005F2FF7">
              <w:rPr>
                <w:rFonts w:asciiTheme="majorHAnsi" w:hAnsiTheme="majorHAnsi"/>
                <w:b/>
                <w:bCs/>
                <w:sz w:val="24"/>
                <w:szCs w:val="24"/>
              </w:rPr>
              <w:t xml:space="preserve">Min d’impôt </w:t>
            </w:r>
            <w:r>
              <w:rPr>
                <w:rFonts w:asciiTheme="majorHAnsi" w:hAnsiTheme="majorHAnsi"/>
                <w:b/>
                <w:bCs/>
                <w:sz w:val="24"/>
                <w:szCs w:val="24"/>
              </w:rPr>
              <w:t>selon l’</w:t>
            </w:r>
            <w:r w:rsidRPr="005F2FF7">
              <w:rPr>
                <w:rFonts w:asciiTheme="majorHAnsi" w:hAnsiTheme="majorHAnsi"/>
                <w:b/>
                <w:bCs/>
                <w:sz w:val="24"/>
                <w:szCs w:val="24"/>
              </w:rPr>
              <w:t xml:space="preserve">art 12 </w:t>
            </w:r>
            <w:r>
              <w:rPr>
                <w:rFonts w:asciiTheme="majorHAnsi" w:hAnsiTheme="majorHAnsi"/>
                <w:b/>
                <w:bCs/>
                <w:sz w:val="24"/>
                <w:szCs w:val="24"/>
              </w:rPr>
              <w:t xml:space="preserve">de la </w:t>
            </w:r>
            <w:r w:rsidRPr="005F2FF7">
              <w:rPr>
                <w:rFonts w:asciiTheme="majorHAnsi" w:hAnsiTheme="majorHAnsi"/>
                <w:b/>
                <w:bCs/>
                <w:sz w:val="24"/>
                <w:szCs w:val="24"/>
              </w:rPr>
              <w:t>loi de promulgation du code IRPP et IS</w:t>
            </w:r>
            <w:r>
              <w:rPr>
                <w:rFonts w:asciiTheme="majorHAnsi" w:hAnsiTheme="majorHAnsi"/>
                <w:b/>
                <w:bCs/>
                <w:sz w:val="24"/>
                <w:szCs w:val="24"/>
              </w:rPr>
              <w:t xml:space="preserve"> </w:t>
            </w:r>
            <w:r w:rsidR="009631F4">
              <w:rPr>
                <w:rFonts w:asciiTheme="majorHAnsi" w:hAnsiTheme="majorHAnsi"/>
                <w:b/>
                <w:bCs/>
                <w:sz w:val="24"/>
                <w:szCs w:val="24"/>
              </w:rPr>
              <w:t>= (839.220,588</w:t>
            </w:r>
            <w:r w:rsidR="00D96E96">
              <w:rPr>
                <w:rFonts w:asciiTheme="majorHAnsi" w:hAnsiTheme="majorHAnsi"/>
                <w:b/>
                <w:bCs/>
                <w:sz w:val="24"/>
                <w:szCs w:val="24"/>
              </w:rPr>
              <w:t xml:space="preserve"> – 120.000,000) </w:t>
            </w:r>
            <w:r w:rsidRPr="005F2FF7">
              <w:rPr>
                <w:rFonts w:asciiTheme="majorHAnsi" w:hAnsiTheme="majorHAnsi"/>
                <w:b/>
                <w:bCs/>
                <w:sz w:val="24"/>
                <w:szCs w:val="24"/>
              </w:rPr>
              <w:t xml:space="preserve">x 20%  </w:t>
            </w:r>
          </w:p>
        </w:tc>
        <w:tc>
          <w:tcPr>
            <w:tcW w:w="2126" w:type="dxa"/>
            <w:vAlign w:val="center"/>
          </w:tcPr>
          <w:p w:rsidR="00F52163" w:rsidRPr="005F2FF7" w:rsidRDefault="00F52163" w:rsidP="009B5AB8">
            <w:pPr>
              <w:jc w:val="right"/>
              <w:rPr>
                <w:b/>
                <w:bCs/>
              </w:rPr>
            </w:pPr>
            <w:r>
              <w:rPr>
                <w:b/>
                <w:bCs/>
              </w:rPr>
              <w:t>1</w:t>
            </w:r>
            <w:r w:rsidR="009B5AB8">
              <w:rPr>
                <w:b/>
                <w:bCs/>
              </w:rPr>
              <w:t>43</w:t>
            </w:r>
            <w:r>
              <w:rPr>
                <w:b/>
                <w:bCs/>
              </w:rPr>
              <w:t>.844</w:t>
            </w:r>
            <w:r w:rsidRPr="005F2FF7">
              <w:rPr>
                <w:b/>
                <w:bCs/>
              </w:rPr>
              <w:t>,</w:t>
            </w:r>
            <w:r>
              <w:rPr>
                <w:b/>
                <w:bCs/>
              </w:rPr>
              <w:t>000</w:t>
            </w:r>
          </w:p>
        </w:tc>
      </w:tr>
      <w:tr w:rsidR="00F52163" w:rsidRPr="005F2FF7" w:rsidTr="00055B54">
        <w:trPr>
          <w:trHeight w:val="408"/>
        </w:trPr>
        <w:tc>
          <w:tcPr>
            <w:tcW w:w="5757" w:type="dxa"/>
            <w:vAlign w:val="center"/>
          </w:tcPr>
          <w:p w:rsidR="0080588F" w:rsidRPr="00922D2E" w:rsidRDefault="00F52163" w:rsidP="005E3855">
            <w:pPr>
              <w:jc w:val="both"/>
              <w:rPr>
                <w:rFonts w:asciiTheme="majorHAnsi" w:hAnsiTheme="majorHAnsi"/>
                <w:sz w:val="24"/>
                <w:szCs w:val="24"/>
              </w:rPr>
            </w:pPr>
            <w:r w:rsidRPr="00922D2E">
              <w:rPr>
                <w:rFonts w:asciiTheme="majorHAnsi" w:hAnsiTheme="majorHAnsi"/>
                <w:sz w:val="24"/>
                <w:szCs w:val="24"/>
              </w:rPr>
              <w:t>Min impôt</w:t>
            </w:r>
            <w:r>
              <w:rPr>
                <w:rFonts w:asciiTheme="majorHAnsi" w:hAnsiTheme="majorHAnsi"/>
                <w:sz w:val="24"/>
                <w:szCs w:val="24"/>
              </w:rPr>
              <w:t xml:space="preserve"> art 44 code IRPP et IS</w:t>
            </w:r>
            <w:r w:rsidRPr="00922D2E">
              <w:rPr>
                <w:rFonts w:asciiTheme="majorHAnsi" w:hAnsiTheme="majorHAnsi"/>
                <w:sz w:val="24"/>
                <w:szCs w:val="24"/>
              </w:rPr>
              <w:t xml:space="preserve"> (0.1% CA local </w:t>
            </w:r>
            <w:r>
              <w:rPr>
                <w:rFonts w:asciiTheme="majorHAnsi" w:hAnsiTheme="majorHAnsi"/>
                <w:sz w:val="24"/>
                <w:szCs w:val="24"/>
              </w:rPr>
              <w:t>TTC</w:t>
            </w:r>
            <w:r w:rsidRPr="00922D2E">
              <w:rPr>
                <w:rFonts w:asciiTheme="majorHAnsi" w:hAnsiTheme="majorHAnsi"/>
                <w:sz w:val="24"/>
                <w:szCs w:val="24"/>
              </w:rPr>
              <w:t xml:space="preserve">) : </w:t>
            </w:r>
            <w:r>
              <w:rPr>
                <w:rFonts w:asciiTheme="majorHAnsi" w:hAnsiTheme="majorHAnsi"/>
                <w:sz w:val="24"/>
                <w:szCs w:val="24"/>
              </w:rPr>
              <w:t>(</w:t>
            </w:r>
            <w:r w:rsidRPr="006F2876">
              <w:rPr>
                <w:rFonts w:asciiTheme="majorHAnsi" w:hAnsiTheme="majorHAnsi"/>
                <w:sz w:val="24"/>
                <w:szCs w:val="24"/>
              </w:rPr>
              <w:t xml:space="preserve">4.000.000 </w:t>
            </w:r>
            <w:r>
              <w:rPr>
                <w:rFonts w:asciiTheme="majorHAnsi" w:hAnsiTheme="majorHAnsi"/>
                <w:sz w:val="24"/>
                <w:szCs w:val="24"/>
              </w:rPr>
              <w:t xml:space="preserve">-1.000.000) </w:t>
            </w:r>
            <w:r w:rsidRPr="00922D2E">
              <w:rPr>
                <w:rFonts w:asciiTheme="majorHAnsi" w:hAnsiTheme="majorHAnsi"/>
                <w:sz w:val="24"/>
                <w:szCs w:val="24"/>
              </w:rPr>
              <w:t>x</w:t>
            </w:r>
            <w:r>
              <w:rPr>
                <w:rFonts w:asciiTheme="majorHAnsi" w:hAnsiTheme="majorHAnsi"/>
                <w:sz w:val="24"/>
                <w:szCs w:val="24"/>
              </w:rPr>
              <w:t xml:space="preserve"> 1.18 </w:t>
            </w:r>
            <w:r w:rsidRPr="00922D2E">
              <w:rPr>
                <w:rFonts w:asciiTheme="majorHAnsi" w:hAnsiTheme="majorHAnsi"/>
                <w:sz w:val="24"/>
                <w:szCs w:val="24"/>
              </w:rPr>
              <w:t>x</w:t>
            </w:r>
            <w:r>
              <w:rPr>
                <w:rFonts w:asciiTheme="majorHAnsi" w:hAnsiTheme="majorHAnsi"/>
                <w:sz w:val="24"/>
                <w:szCs w:val="24"/>
              </w:rPr>
              <w:t xml:space="preserve"> 0.1%</w:t>
            </w:r>
          </w:p>
        </w:tc>
        <w:tc>
          <w:tcPr>
            <w:tcW w:w="2126" w:type="dxa"/>
            <w:vAlign w:val="center"/>
          </w:tcPr>
          <w:p w:rsidR="00F52163" w:rsidRPr="005F2FF7" w:rsidRDefault="00F52163" w:rsidP="00CE25C2">
            <w:pPr>
              <w:jc w:val="right"/>
            </w:pPr>
            <w:r>
              <w:t>3</w:t>
            </w:r>
            <w:r w:rsidRPr="005F2FF7">
              <w:t>.</w:t>
            </w:r>
            <w:r>
              <w:t>540</w:t>
            </w:r>
            <w:r w:rsidRPr="005F2FF7">
              <w:t>,000</w:t>
            </w:r>
          </w:p>
        </w:tc>
      </w:tr>
    </w:tbl>
    <w:p w:rsidR="00302645" w:rsidRPr="00922D2E" w:rsidRDefault="00302645" w:rsidP="009B5AB8">
      <w:pPr>
        <w:spacing w:before="120" w:after="120" w:line="360" w:lineRule="auto"/>
        <w:jc w:val="both"/>
        <w:rPr>
          <w:rFonts w:asciiTheme="majorHAnsi" w:hAnsiTheme="majorHAnsi"/>
          <w:sz w:val="24"/>
          <w:szCs w:val="24"/>
        </w:rPr>
      </w:pPr>
      <w:r w:rsidRPr="00922D2E">
        <w:rPr>
          <w:rFonts w:asciiTheme="majorHAnsi" w:hAnsiTheme="majorHAnsi"/>
          <w:sz w:val="24"/>
          <w:szCs w:val="24"/>
        </w:rPr>
        <w:lastRenderedPageBreak/>
        <w:t>Donc à retenir</w:t>
      </w:r>
      <w:r>
        <w:rPr>
          <w:rFonts w:asciiTheme="majorHAnsi" w:hAnsiTheme="majorHAnsi"/>
          <w:sz w:val="24"/>
          <w:szCs w:val="24"/>
        </w:rPr>
        <w:t xml:space="preserve"> le montant de</w:t>
      </w:r>
      <w:r w:rsidRPr="00922D2E">
        <w:rPr>
          <w:rFonts w:asciiTheme="majorHAnsi" w:hAnsiTheme="majorHAnsi"/>
          <w:sz w:val="24"/>
          <w:szCs w:val="24"/>
        </w:rPr>
        <w:t xml:space="preserve"> </w:t>
      </w:r>
      <w:r w:rsidR="009B5AB8">
        <w:rPr>
          <w:sz w:val="24"/>
          <w:szCs w:val="24"/>
        </w:rPr>
        <w:t>185</w:t>
      </w:r>
      <w:r w:rsidRPr="00C86A4C">
        <w:rPr>
          <w:sz w:val="24"/>
          <w:szCs w:val="24"/>
        </w:rPr>
        <w:t>.</w:t>
      </w:r>
      <w:r w:rsidR="009B5AB8">
        <w:rPr>
          <w:sz w:val="24"/>
          <w:szCs w:val="24"/>
        </w:rPr>
        <w:t>7</w:t>
      </w:r>
      <w:r w:rsidRPr="00C86A4C">
        <w:rPr>
          <w:sz w:val="24"/>
          <w:szCs w:val="24"/>
        </w:rPr>
        <w:t>66,000</w:t>
      </w:r>
      <w:r>
        <w:rPr>
          <w:sz w:val="24"/>
          <w:szCs w:val="24"/>
        </w:rPr>
        <w:t xml:space="preserve"> TND</w:t>
      </w:r>
      <w:r>
        <w:t xml:space="preserve"> </w:t>
      </w:r>
      <w:r w:rsidRPr="00922D2E">
        <w:rPr>
          <w:rFonts w:asciiTheme="majorHAnsi" w:hAnsiTheme="majorHAnsi"/>
          <w:sz w:val="24"/>
          <w:szCs w:val="24"/>
        </w:rPr>
        <w:t xml:space="preserve">comme IS dû par la société </w:t>
      </w:r>
      <w:r w:rsidRPr="00C90377">
        <w:rPr>
          <w:rFonts w:asciiTheme="majorHAnsi" w:hAnsiTheme="majorHAnsi"/>
          <w:b/>
          <w:bCs/>
          <w:i/>
          <w:iCs/>
          <w:sz w:val="24"/>
          <w:szCs w:val="24"/>
        </w:rPr>
        <w:t>« KLM »</w:t>
      </w:r>
      <w:r w:rsidRPr="00C90377">
        <w:rPr>
          <w:rFonts w:asciiTheme="majorHAnsi" w:hAnsiTheme="majorHAnsi"/>
          <w:sz w:val="24"/>
          <w:szCs w:val="24"/>
        </w:rPr>
        <w:t xml:space="preserve"> </w:t>
      </w:r>
      <w:r w:rsidRPr="00922D2E">
        <w:rPr>
          <w:rFonts w:asciiTheme="majorHAnsi" w:hAnsiTheme="majorHAnsi"/>
          <w:sz w:val="24"/>
          <w:szCs w:val="24"/>
        </w:rPr>
        <w:t>au titre de</w:t>
      </w:r>
      <w:r>
        <w:rPr>
          <w:rFonts w:asciiTheme="majorHAnsi" w:hAnsiTheme="majorHAnsi"/>
          <w:sz w:val="24"/>
          <w:szCs w:val="24"/>
        </w:rPr>
        <w:t xml:space="preserve"> l’année</w:t>
      </w:r>
      <w:r w:rsidRPr="00922D2E">
        <w:rPr>
          <w:rFonts w:asciiTheme="majorHAnsi" w:hAnsiTheme="majorHAnsi"/>
          <w:sz w:val="24"/>
          <w:szCs w:val="24"/>
        </w:rPr>
        <w:t xml:space="preserve"> 2011</w:t>
      </w:r>
      <w:r>
        <w:rPr>
          <w:rFonts w:asciiTheme="majorHAnsi" w:hAnsiTheme="majorHAnsi"/>
          <w:sz w:val="24"/>
          <w:szCs w:val="24"/>
        </w:rPr>
        <w:t xml:space="preserve"> si la société opte pour la 2ème alternative.</w:t>
      </w:r>
      <w:r w:rsidRPr="00922D2E">
        <w:rPr>
          <w:rFonts w:asciiTheme="majorHAnsi" w:hAnsiTheme="majorHAnsi"/>
          <w:sz w:val="24"/>
          <w:szCs w:val="24"/>
        </w:rPr>
        <w:t> </w:t>
      </w:r>
    </w:p>
    <w:p w:rsidR="00C90377" w:rsidRPr="00302645" w:rsidRDefault="00302645" w:rsidP="00C90377">
      <w:pPr>
        <w:tabs>
          <w:tab w:val="left" w:pos="284"/>
        </w:tabs>
        <w:spacing w:before="120" w:after="120" w:line="360" w:lineRule="auto"/>
        <w:jc w:val="both"/>
        <w:rPr>
          <w:rFonts w:asciiTheme="majorHAnsi" w:hAnsiTheme="majorHAnsi"/>
          <w:b/>
          <w:bCs/>
          <w:i/>
          <w:iCs/>
          <w:sz w:val="24"/>
          <w:szCs w:val="24"/>
        </w:rPr>
      </w:pPr>
      <w:r w:rsidRPr="00302645">
        <w:rPr>
          <w:rFonts w:asciiTheme="majorHAnsi" w:hAnsiTheme="majorHAnsi"/>
          <w:b/>
          <w:bCs/>
          <w:i/>
          <w:iCs/>
          <w:sz w:val="24"/>
          <w:szCs w:val="24"/>
        </w:rPr>
        <w:t>Conclusion :</w:t>
      </w:r>
    </w:p>
    <w:p w:rsidR="00C90377" w:rsidRPr="00302645" w:rsidRDefault="00302645" w:rsidP="00302645">
      <w:pPr>
        <w:spacing w:before="120" w:after="120" w:line="360" w:lineRule="auto"/>
        <w:jc w:val="both"/>
        <w:rPr>
          <w:rFonts w:asciiTheme="majorHAnsi" w:hAnsiTheme="majorHAnsi"/>
          <w:sz w:val="24"/>
          <w:szCs w:val="24"/>
        </w:rPr>
      </w:pPr>
      <w:r>
        <w:rPr>
          <w:rFonts w:asciiTheme="majorHAnsi" w:hAnsiTheme="majorHAnsi"/>
          <w:sz w:val="24"/>
          <w:szCs w:val="24"/>
        </w:rPr>
        <w:t xml:space="preserve">La société </w:t>
      </w:r>
      <w:r w:rsidRPr="00302645">
        <w:rPr>
          <w:rFonts w:asciiTheme="majorHAnsi" w:hAnsiTheme="majorHAnsi"/>
          <w:sz w:val="24"/>
          <w:szCs w:val="24"/>
        </w:rPr>
        <w:t xml:space="preserve">« KLM » </w:t>
      </w:r>
      <w:r>
        <w:rPr>
          <w:rFonts w:asciiTheme="majorHAnsi" w:hAnsiTheme="majorHAnsi"/>
          <w:sz w:val="24"/>
          <w:szCs w:val="24"/>
        </w:rPr>
        <w:t xml:space="preserve">est indifférente, sur le plan gestion fiscale optimale, pour l’une ou autre </w:t>
      </w:r>
      <w:r w:rsidR="00AE33F4">
        <w:rPr>
          <w:rFonts w:asciiTheme="majorHAnsi" w:hAnsiTheme="majorHAnsi"/>
          <w:sz w:val="24"/>
          <w:szCs w:val="24"/>
        </w:rPr>
        <w:t xml:space="preserve">des deux </w:t>
      </w:r>
      <w:r>
        <w:rPr>
          <w:rFonts w:asciiTheme="majorHAnsi" w:hAnsiTheme="majorHAnsi"/>
          <w:sz w:val="24"/>
          <w:szCs w:val="24"/>
        </w:rPr>
        <w:t>alternatives de réinvestissement.</w:t>
      </w:r>
    </w:p>
    <w:p w:rsidR="00553731" w:rsidRPr="00055B54" w:rsidRDefault="00C90377" w:rsidP="00C90377">
      <w:pPr>
        <w:spacing w:before="120" w:after="120" w:line="360" w:lineRule="auto"/>
        <w:jc w:val="both"/>
        <w:rPr>
          <w:rFonts w:asciiTheme="majorHAnsi" w:hAnsiTheme="majorHAnsi"/>
          <w:b/>
          <w:bCs/>
          <w:sz w:val="24"/>
          <w:szCs w:val="24"/>
        </w:rPr>
      </w:pPr>
      <w:r w:rsidRPr="00C90377">
        <w:rPr>
          <w:rFonts w:asciiTheme="majorHAnsi" w:hAnsiTheme="majorHAnsi"/>
          <w:b/>
          <w:bCs/>
          <w:sz w:val="24"/>
          <w:szCs w:val="24"/>
        </w:rPr>
        <w:t>II</w:t>
      </w:r>
      <w:r>
        <w:rPr>
          <w:rFonts w:asciiTheme="majorHAnsi" w:hAnsiTheme="majorHAnsi"/>
          <w:sz w:val="24"/>
          <w:szCs w:val="24"/>
        </w:rPr>
        <w:t>-</w:t>
      </w:r>
      <w:r w:rsidR="00553731">
        <w:rPr>
          <w:rFonts w:asciiTheme="majorHAnsi" w:hAnsiTheme="majorHAnsi"/>
          <w:sz w:val="24"/>
          <w:szCs w:val="24"/>
        </w:rPr>
        <w:t xml:space="preserve"> </w:t>
      </w:r>
      <w:r w:rsidR="00553731" w:rsidRPr="00055B54">
        <w:rPr>
          <w:rFonts w:asciiTheme="majorHAnsi" w:hAnsiTheme="majorHAnsi"/>
          <w:b/>
          <w:bCs/>
          <w:sz w:val="24"/>
          <w:szCs w:val="24"/>
        </w:rPr>
        <w:t>note succincte</w:t>
      </w:r>
      <w:r w:rsidR="00553731" w:rsidRPr="00055B54">
        <w:rPr>
          <w:rFonts w:ascii="ArialMT" w:hAnsi="ArialMT" w:cs="ArialMT"/>
          <w:b/>
          <w:bCs/>
          <w:sz w:val="20"/>
          <w:szCs w:val="20"/>
        </w:rPr>
        <w:t xml:space="preserve"> </w:t>
      </w:r>
      <w:r w:rsidRPr="00055B54">
        <w:rPr>
          <w:rFonts w:asciiTheme="majorHAnsi" w:hAnsiTheme="majorHAnsi"/>
          <w:b/>
          <w:bCs/>
          <w:sz w:val="24"/>
          <w:szCs w:val="24"/>
        </w:rPr>
        <w:t>sur</w:t>
      </w:r>
      <w:r w:rsidR="00553731" w:rsidRPr="00055B54">
        <w:rPr>
          <w:rFonts w:ascii="ArialMT" w:hAnsi="ArialMT" w:cs="ArialMT"/>
          <w:b/>
          <w:bCs/>
          <w:sz w:val="20"/>
          <w:szCs w:val="20"/>
        </w:rPr>
        <w:t xml:space="preserve"> </w:t>
      </w:r>
      <w:r w:rsidR="00553731" w:rsidRPr="00055B54">
        <w:rPr>
          <w:rFonts w:asciiTheme="majorHAnsi" w:hAnsiTheme="majorHAnsi"/>
          <w:b/>
          <w:bCs/>
          <w:sz w:val="24"/>
          <w:szCs w:val="24"/>
        </w:rPr>
        <w:t xml:space="preserve">le traitement fiscal approprié mis à la charge </w:t>
      </w:r>
      <w:r w:rsidR="003F556D" w:rsidRPr="00055B54">
        <w:rPr>
          <w:rFonts w:asciiTheme="majorHAnsi" w:hAnsiTheme="majorHAnsi"/>
          <w:b/>
          <w:bCs/>
          <w:sz w:val="24"/>
          <w:szCs w:val="24"/>
        </w:rPr>
        <w:t xml:space="preserve">de la société </w:t>
      </w:r>
      <w:r w:rsidR="003F556D" w:rsidRPr="00055B54">
        <w:rPr>
          <w:rFonts w:asciiTheme="majorHAnsi" w:hAnsiTheme="majorHAnsi"/>
          <w:b/>
          <w:bCs/>
          <w:i/>
          <w:iCs/>
          <w:sz w:val="24"/>
          <w:szCs w:val="24"/>
        </w:rPr>
        <w:t xml:space="preserve">« KLM plus » </w:t>
      </w:r>
      <w:r w:rsidR="00553731" w:rsidRPr="00055B54">
        <w:rPr>
          <w:rFonts w:asciiTheme="majorHAnsi" w:hAnsiTheme="majorHAnsi"/>
          <w:b/>
          <w:bCs/>
          <w:sz w:val="24"/>
          <w:szCs w:val="24"/>
        </w:rPr>
        <w:t xml:space="preserve">concernant </w:t>
      </w:r>
      <w:r w:rsidR="003F556D" w:rsidRPr="00055B54">
        <w:rPr>
          <w:rFonts w:asciiTheme="majorHAnsi" w:hAnsiTheme="majorHAnsi"/>
          <w:b/>
          <w:bCs/>
          <w:sz w:val="24"/>
          <w:szCs w:val="24"/>
        </w:rPr>
        <w:t>les</w:t>
      </w:r>
      <w:r w:rsidR="00553731" w:rsidRPr="00055B54">
        <w:rPr>
          <w:rFonts w:asciiTheme="majorHAnsi" w:hAnsiTheme="majorHAnsi"/>
          <w:b/>
          <w:bCs/>
          <w:sz w:val="24"/>
          <w:szCs w:val="24"/>
        </w:rPr>
        <w:t xml:space="preserve"> opération</w:t>
      </w:r>
      <w:r w:rsidR="003F556D" w:rsidRPr="00055B54">
        <w:rPr>
          <w:rFonts w:asciiTheme="majorHAnsi" w:hAnsiTheme="majorHAnsi"/>
          <w:b/>
          <w:bCs/>
          <w:sz w:val="24"/>
          <w:szCs w:val="24"/>
        </w:rPr>
        <w:t xml:space="preserve">s </w:t>
      </w:r>
      <w:r w:rsidRPr="00055B54">
        <w:rPr>
          <w:rFonts w:asciiTheme="majorHAnsi" w:hAnsiTheme="majorHAnsi"/>
          <w:b/>
          <w:bCs/>
          <w:sz w:val="24"/>
          <w:szCs w:val="24"/>
        </w:rPr>
        <w:t>effectuées</w:t>
      </w:r>
      <w:r w:rsidR="00553731" w:rsidRPr="00055B54">
        <w:rPr>
          <w:rFonts w:asciiTheme="majorHAnsi" w:hAnsiTheme="majorHAnsi"/>
          <w:b/>
          <w:bCs/>
          <w:sz w:val="24"/>
          <w:szCs w:val="24"/>
        </w:rPr>
        <w:t xml:space="preserve"> sachant que le paiement effectif de ces montants a eu lieu au cours de l’année 2011 ?</w:t>
      </w:r>
    </w:p>
    <w:p w:rsidR="00C8242D" w:rsidRDefault="00C8242D" w:rsidP="00C8242D">
      <w:pPr>
        <w:pStyle w:val="Paragraphedeliste"/>
        <w:numPr>
          <w:ilvl w:val="0"/>
          <w:numId w:val="35"/>
        </w:numPr>
        <w:spacing w:before="120" w:after="120" w:line="360" w:lineRule="auto"/>
        <w:jc w:val="both"/>
        <w:rPr>
          <w:rFonts w:asciiTheme="majorHAnsi" w:hAnsiTheme="majorHAnsi"/>
          <w:b/>
          <w:bCs/>
          <w:i/>
          <w:iCs/>
          <w:sz w:val="24"/>
          <w:szCs w:val="24"/>
        </w:rPr>
      </w:pPr>
      <w:r w:rsidRPr="00C8242D">
        <w:rPr>
          <w:rFonts w:asciiTheme="majorHAnsi" w:hAnsiTheme="majorHAnsi"/>
          <w:b/>
          <w:bCs/>
          <w:i/>
          <w:iCs/>
          <w:sz w:val="24"/>
          <w:szCs w:val="24"/>
        </w:rPr>
        <w:t>Diagnostic stratégique d’une activité</w:t>
      </w:r>
    </w:p>
    <w:p w:rsidR="00621EAB" w:rsidRDefault="00621EAB" w:rsidP="00621EAB">
      <w:pPr>
        <w:tabs>
          <w:tab w:val="left" w:pos="709"/>
        </w:tabs>
        <w:spacing w:before="120" w:after="120" w:line="360" w:lineRule="auto"/>
        <w:ind w:left="360"/>
        <w:jc w:val="both"/>
        <w:rPr>
          <w:rFonts w:asciiTheme="majorHAnsi" w:hAnsiTheme="majorHAnsi"/>
          <w:b/>
          <w:bCs/>
          <w:i/>
          <w:iCs/>
          <w:sz w:val="24"/>
          <w:szCs w:val="24"/>
        </w:rPr>
      </w:pPr>
      <w:r w:rsidRPr="00621EAB">
        <w:rPr>
          <w:rFonts w:asciiTheme="majorHAnsi" w:hAnsiTheme="majorHAnsi"/>
          <w:b/>
          <w:bCs/>
          <w:i/>
          <w:iCs/>
          <w:sz w:val="24"/>
          <w:szCs w:val="24"/>
        </w:rPr>
        <w:t>En matière d’IS</w:t>
      </w:r>
    </w:p>
    <w:p w:rsidR="00621EAB" w:rsidRDefault="00621EAB" w:rsidP="00621EAB">
      <w:pPr>
        <w:spacing w:before="120" w:after="120" w:line="360" w:lineRule="auto"/>
        <w:jc w:val="both"/>
        <w:rPr>
          <w:rFonts w:asciiTheme="majorHAnsi" w:hAnsiTheme="majorHAnsi"/>
          <w:sz w:val="24"/>
          <w:szCs w:val="24"/>
        </w:rPr>
      </w:pPr>
      <w:r>
        <w:rPr>
          <w:rFonts w:asciiTheme="majorHAnsi" w:hAnsiTheme="majorHAnsi"/>
          <w:sz w:val="24"/>
          <w:szCs w:val="24"/>
        </w:rPr>
        <w:t xml:space="preserve">Le diagnostic stratégique d’une activité est identifié par un objet et des besoins généralement exprimés par un cahier de charges et suppose de la part de la personne qui l’exécute successivement une </w:t>
      </w:r>
      <w:r w:rsidRPr="003551C7">
        <w:rPr>
          <w:rFonts w:asciiTheme="majorHAnsi" w:hAnsiTheme="majorHAnsi"/>
          <w:b/>
          <w:bCs/>
          <w:i/>
          <w:iCs/>
          <w:sz w:val="24"/>
          <w:szCs w:val="24"/>
        </w:rPr>
        <w:t>constatation</w:t>
      </w:r>
      <w:r>
        <w:rPr>
          <w:rFonts w:asciiTheme="majorHAnsi" w:hAnsiTheme="majorHAnsi"/>
          <w:sz w:val="24"/>
          <w:szCs w:val="24"/>
        </w:rPr>
        <w:t xml:space="preserve">, une </w:t>
      </w:r>
      <w:r w:rsidRPr="00FE78FA">
        <w:rPr>
          <w:rFonts w:asciiTheme="majorHAnsi" w:hAnsiTheme="majorHAnsi"/>
          <w:b/>
          <w:bCs/>
          <w:i/>
          <w:iCs/>
          <w:sz w:val="24"/>
          <w:szCs w:val="24"/>
        </w:rPr>
        <w:t>analyse</w:t>
      </w:r>
      <w:r>
        <w:rPr>
          <w:rFonts w:asciiTheme="majorHAnsi" w:hAnsiTheme="majorHAnsi"/>
          <w:sz w:val="24"/>
          <w:szCs w:val="24"/>
        </w:rPr>
        <w:t xml:space="preserve"> et une </w:t>
      </w:r>
      <w:r w:rsidRPr="00FE78FA">
        <w:rPr>
          <w:rFonts w:asciiTheme="majorHAnsi" w:hAnsiTheme="majorHAnsi"/>
          <w:b/>
          <w:bCs/>
          <w:i/>
          <w:iCs/>
          <w:sz w:val="24"/>
          <w:szCs w:val="24"/>
        </w:rPr>
        <w:t>conclusion</w:t>
      </w:r>
      <w:r>
        <w:rPr>
          <w:rFonts w:asciiTheme="majorHAnsi" w:hAnsiTheme="majorHAnsi"/>
          <w:sz w:val="24"/>
          <w:szCs w:val="24"/>
        </w:rPr>
        <w:t xml:space="preserve"> qui doivent être contenues dans un </w:t>
      </w:r>
      <w:r w:rsidRPr="00FE78FA">
        <w:rPr>
          <w:rFonts w:asciiTheme="majorHAnsi" w:hAnsiTheme="majorHAnsi"/>
          <w:b/>
          <w:bCs/>
          <w:i/>
          <w:iCs/>
          <w:sz w:val="24"/>
          <w:szCs w:val="24"/>
        </w:rPr>
        <w:t>rapport</w:t>
      </w:r>
      <w:r>
        <w:rPr>
          <w:rFonts w:asciiTheme="majorHAnsi" w:hAnsiTheme="majorHAnsi"/>
          <w:sz w:val="24"/>
          <w:szCs w:val="24"/>
        </w:rPr>
        <w:t xml:space="preserve"> qui devient la propriété exclusive de la personne qui la commande la société </w:t>
      </w:r>
      <w:r w:rsidRPr="00B97067">
        <w:rPr>
          <w:rFonts w:asciiTheme="majorHAnsi" w:hAnsiTheme="majorHAnsi"/>
          <w:b/>
          <w:bCs/>
          <w:i/>
          <w:iCs/>
          <w:sz w:val="24"/>
          <w:szCs w:val="24"/>
        </w:rPr>
        <w:t>« KLM plus »</w:t>
      </w:r>
      <w:r>
        <w:rPr>
          <w:rFonts w:asciiTheme="majorHAnsi" w:hAnsiTheme="majorHAnsi"/>
          <w:sz w:val="24"/>
          <w:szCs w:val="24"/>
        </w:rPr>
        <w:t>.</w:t>
      </w:r>
    </w:p>
    <w:p w:rsidR="00621EAB" w:rsidRPr="00C8242D" w:rsidRDefault="00F17DC9" w:rsidP="00FB15C4">
      <w:pPr>
        <w:spacing w:before="120" w:after="120" w:line="360" w:lineRule="auto"/>
        <w:jc w:val="both"/>
        <w:rPr>
          <w:rFonts w:asciiTheme="majorHAnsi" w:hAnsiTheme="majorHAnsi"/>
          <w:sz w:val="24"/>
          <w:szCs w:val="24"/>
        </w:rPr>
      </w:pPr>
      <w:r>
        <w:rPr>
          <w:rFonts w:asciiTheme="majorHAnsi" w:hAnsiTheme="majorHAnsi"/>
          <w:sz w:val="24"/>
          <w:szCs w:val="24"/>
        </w:rPr>
        <w:t>En absence d’un établissement stable et e</w:t>
      </w:r>
      <w:r w:rsidR="00621EAB" w:rsidRPr="00FF49F1">
        <w:rPr>
          <w:rFonts w:asciiTheme="majorHAnsi" w:hAnsiTheme="majorHAnsi"/>
          <w:sz w:val="24"/>
          <w:szCs w:val="24"/>
        </w:rPr>
        <w:t>n vertu de l’article 12</w:t>
      </w:r>
      <w:r w:rsidR="00621EAB">
        <w:rPr>
          <w:rFonts w:asciiTheme="majorHAnsi" w:hAnsiTheme="majorHAnsi"/>
          <w:sz w:val="24"/>
          <w:szCs w:val="24"/>
        </w:rPr>
        <w:t xml:space="preserve"> </w:t>
      </w:r>
      <w:r w:rsidR="00621EAB" w:rsidRPr="00FF49F1">
        <w:rPr>
          <w:rFonts w:asciiTheme="majorHAnsi" w:hAnsiTheme="majorHAnsi"/>
          <w:sz w:val="24"/>
          <w:szCs w:val="24"/>
        </w:rPr>
        <w:t>de la convention</w:t>
      </w:r>
      <w:r w:rsidR="00FB15C4">
        <w:rPr>
          <w:rFonts w:asciiTheme="majorHAnsi" w:hAnsiTheme="majorHAnsi"/>
          <w:sz w:val="24"/>
          <w:szCs w:val="24"/>
        </w:rPr>
        <w:t xml:space="preserve"> </w:t>
      </w:r>
      <w:r w:rsidR="00FB15C4" w:rsidRPr="00FF49F1">
        <w:rPr>
          <w:rFonts w:asciiTheme="majorHAnsi" w:hAnsiTheme="majorHAnsi"/>
          <w:sz w:val="24"/>
          <w:szCs w:val="24"/>
        </w:rPr>
        <w:t>de non double imposition</w:t>
      </w:r>
      <w:r w:rsidR="00621EAB" w:rsidRPr="00FF49F1">
        <w:rPr>
          <w:rFonts w:asciiTheme="majorHAnsi" w:hAnsiTheme="majorHAnsi"/>
          <w:sz w:val="24"/>
          <w:szCs w:val="24"/>
        </w:rPr>
        <w:t xml:space="preserve"> </w:t>
      </w:r>
      <w:proofErr w:type="spellStart"/>
      <w:r w:rsidR="00621EAB" w:rsidRPr="00FF49F1">
        <w:rPr>
          <w:rFonts w:asciiTheme="majorHAnsi" w:hAnsiTheme="majorHAnsi"/>
          <w:sz w:val="24"/>
          <w:szCs w:val="24"/>
        </w:rPr>
        <w:t>Tuniso</w:t>
      </w:r>
      <w:proofErr w:type="spellEnd"/>
      <w:r w:rsidR="00621EAB" w:rsidRPr="00FF49F1">
        <w:rPr>
          <w:rFonts w:asciiTheme="majorHAnsi" w:hAnsiTheme="majorHAnsi"/>
          <w:sz w:val="24"/>
          <w:szCs w:val="24"/>
        </w:rPr>
        <w:t>-</w:t>
      </w:r>
      <w:r w:rsidR="00621EAB">
        <w:rPr>
          <w:rFonts w:asciiTheme="majorHAnsi" w:hAnsiTheme="majorHAnsi"/>
          <w:sz w:val="24"/>
          <w:szCs w:val="24"/>
        </w:rPr>
        <w:t>Espagnole</w:t>
      </w:r>
      <w:r w:rsidR="00621EAB" w:rsidRPr="00FF49F1">
        <w:rPr>
          <w:rFonts w:asciiTheme="majorHAnsi" w:hAnsiTheme="majorHAnsi"/>
          <w:sz w:val="24"/>
          <w:szCs w:val="24"/>
        </w:rPr>
        <w:t>, les rémunérations</w:t>
      </w:r>
      <w:r w:rsidR="00621EAB">
        <w:rPr>
          <w:rFonts w:asciiTheme="majorHAnsi" w:hAnsiTheme="majorHAnsi"/>
          <w:sz w:val="24"/>
          <w:szCs w:val="24"/>
        </w:rPr>
        <w:t xml:space="preserve"> </w:t>
      </w:r>
      <w:r w:rsidR="00621EAB" w:rsidRPr="00FF49F1">
        <w:rPr>
          <w:rFonts w:asciiTheme="majorHAnsi" w:hAnsiTheme="majorHAnsi"/>
          <w:sz w:val="24"/>
          <w:szCs w:val="24"/>
        </w:rPr>
        <w:t>payées à ce titre</w:t>
      </w:r>
      <w:r w:rsidR="00621EAB">
        <w:rPr>
          <w:rFonts w:asciiTheme="majorHAnsi" w:hAnsiTheme="majorHAnsi"/>
          <w:sz w:val="24"/>
          <w:szCs w:val="24"/>
        </w:rPr>
        <w:t xml:space="preserve"> sont qualifiée de </w:t>
      </w:r>
      <w:r w:rsidR="00621EAB" w:rsidRPr="00F17DC9">
        <w:rPr>
          <w:rFonts w:asciiTheme="majorHAnsi" w:hAnsiTheme="majorHAnsi"/>
          <w:b/>
          <w:bCs/>
          <w:i/>
          <w:iCs/>
          <w:sz w:val="24"/>
          <w:szCs w:val="24"/>
        </w:rPr>
        <w:t xml:space="preserve">redevance </w:t>
      </w:r>
      <w:r w:rsidR="00621EAB">
        <w:rPr>
          <w:rFonts w:asciiTheme="majorHAnsi" w:hAnsiTheme="majorHAnsi"/>
          <w:sz w:val="24"/>
          <w:szCs w:val="24"/>
        </w:rPr>
        <w:t>et</w:t>
      </w:r>
      <w:r w:rsidR="00621EAB" w:rsidRPr="00FF49F1">
        <w:rPr>
          <w:rFonts w:asciiTheme="majorHAnsi" w:hAnsiTheme="majorHAnsi"/>
          <w:sz w:val="24"/>
          <w:szCs w:val="24"/>
        </w:rPr>
        <w:t xml:space="preserve"> sont imposable</w:t>
      </w:r>
      <w:r>
        <w:rPr>
          <w:rFonts w:asciiTheme="majorHAnsi" w:hAnsiTheme="majorHAnsi"/>
          <w:sz w:val="24"/>
          <w:szCs w:val="24"/>
        </w:rPr>
        <w:t>,</w:t>
      </w:r>
      <w:r w:rsidR="00621EAB" w:rsidRPr="00FF49F1">
        <w:rPr>
          <w:rFonts w:asciiTheme="majorHAnsi" w:hAnsiTheme="majorHAnsi"/>
          <w:sz w:val="24"/>
          <w:szCs w:val="24"/>
        </w:rPr>
        <w:t xml:space="preserve"> </w:t>
      </w:r>
      <w:r w:rsidR="00621EAB">
        <w:rPr>
          <w:rFonts w:asciiTheme="majorHAnsi" w:hAnsiTheme="majorHAnsi"/>
          <w:sz w:val="24"/>
          <w:szCs w:val="24"/>
        </w:rPr>
        <w:t>de ce fait</w:t>
      </w:r>
      <w:r>
        <w:rPr>
          <w:rFonts w:asciiTheme="majorHAnsi" w:hAnsiTheme="majorHAnsi"/>
          <w:sz w:val="24"/>
          <w:szCs w:val="24"/>
        </w:rPr>
        <w:t>,</w:t>
      </w:r>
      <w:r w:rsidR="00621EAB">
        <w:rPr>
          <w:rFonts w:asciiTheme="majorHAnsi" w:hAnsiTheme="majorHAnsi"/>
          <w:sz w:val="24"/>
          <w:szCs w:val="24"/>
        </w:rPr>
        <w:t xml:space="preserve"> </w:t>
      </w:r>
      <w:r w:rsidR="00621EAB" w:rsidRPr="00FF49F1">
        <w:rPr>
          <w:rFonts w:asciiTheme="majorHAnsi" w:hAnsiTheme="majorHAnsi"/>
          <w:sz w:val="24"/>
          <w:szCs w:val="24"/>
        </w:rPr>
        <w:t>en Tunisie par voie de retenue à la source</w:t>
      </w:r>
      <w:r w:rsidR="00621EAB">
        <w:rPr>
          <w:rFonts w:asciiTheme="majorHAnsi" w:hAnsiTheme="majorHAnsi"/>
          <w:sz w:val="24"/>
          <w:szCs w:val="24"/>
        </w:rPr>
        <w:t xml:space="preserve"> </w:t>
      </w:r>
      <w:r w:rsidR="00621EAB" w:rsidRPr="00FF49F1">
        <w:rPr>
          <w:rFonts w:asciiTheme="majorHAnsi" w:hAnsiTheme="majorHAnsi"/>
          <w:sz w:val="24"/>
          <w:szCs w:val="24"/>
        </w:rPr>
        <w:t>libératoire au taux de 10% de leur montant brut, soit :</w:t>
      </w:r>
      <w:r w:rsidR="00621EAB">
        <w:rPr>
          <w:rFonts w:asciiTheme="majorHAnsi" w:hAnsiTheme="majorHAnsi"/>
          <w:sz w:val="24"/>
          <w:szCs w:val="24"/>
        </w:rPr>
        <w:t xml:space="preserve"> 200.000</w:t>
      </w:r>
      <w:r w:rsidR="00DC65E1">
        <w:rPr>
          <w:rFonts w:asciiTheme="majorHAnsi" w:hAnsiTheme="majorHAnsi"/>
          <w:sz w:val="24"/>
          <w:szCs w:val="24"/>
        </w:rPr>
        <w:t>,000</w:t>
      </w:r>
      <w:r w:rsidR="00621EAB">
        <w:rPr>
          <w:rFonts w:asciiTheme="majorHAnsi" w:hAnsiTheme="majorHAnsi"/>
          <w:sz w:val="24"/>
          <w:szCs w:val="24"/>
        </w:rPr>
        <w:t xml:space="preserve"> </w:t>
      </w:r>
      <w:r w:rsidR="00621EAB" w:rsidRPr="00922D2E">
        <w:rPr>
          <w:rFonts w:asciiTheme="majorHAnsi" w:hAnsiTheme="majorHAnsi"/>
          <w:sz w:val="24"/>
          <w:szCs w:val="24"/>
        </w:rPr>
        <w:t>x</w:t>
      </w:r>
      <w:r w:rsidR="00621EAB">
        <w:rPr>
          <w:rFonts w:asciiTheme="majorHAnsi" w:hAnsiTheme="majorHAnsi"/>
          <w:sz w:val="24"/>
          <w:szCs w:val="24"/>
        </w:rPr>
        <w:t xml:space="preserve"> 1,12 </w:t>
      </w:r>
      <w:r w:rsidR="00621EAB" w:rsidRPr="00922D2E">
        <w:rPr>
          <w:rFonts w:asciiTheme="majorHAnsi" w:hAnsiTheme="majorHAnsi"/>
          <w:sz w:val="24"/>
          <w:szCs w:val="24"/>
        </w:rPr>
        <w:t>x</w:t>
      </w:r>
      <w:r w:rsidR="00621EAB">
        <w:rPr>
          <w:rFonts w:asciiTheme="majorHAnsi" w:hAnsiTheme="majorHAnsi"/>
          <w:sz w:val="24"/>
          <w:szCs w:val="24"/>
        </w:rPr>
        <w:t xml:space="preserve"> 10 %</w:t>
      </w:r>
      <w:r w:rsidR="00DC65E1">
        <w:rPr>
          <w:rFonts w:asciiTheme="majorHAnsi" w:hAnsiTheme="majorHAnsi"/>
          <w:sz w:val="24"/>
          <w:szCs w:val="24"/>
        </w:rPr>
        <w:t xml:space="preserve"> = 22.400,000 TND</w:t>
      </w:r>
      <w:r w:rsidR="00A43776">
        <w:rPr>
          <w:rFonts w:asciiTheme="majorHAnsi" w:hAnsiTheme="majorHAnsi"/>
          <w:sz w:val="24"/>
          <w:szCs w:val="24"/>
        </w:rPr>
        <w:t>.</w:t>
      </w:r>
    </w:p>
    <w:p w:rsidR="00DC65E1" w:rsidRPr="00C8242D" w:rsidRDefault="00DC65E1" w:rsidP="00DC65E1">
      <w:pPr>
        <w:spacing w:before="120" w:after="120" w:line="360" w:lineRule="auto"/>
        <w:jc w:val="both"/>
        <w:rPr>
          <w:rFonts w:asciiTheme="majorHAnsi" w:hAnsiTheme="majorHAnsi"/>
          <w:sz w:val="24"/>
          <w:szCs w:val="24"/>
        </w:rPr>
      </w:pPr>
      <w:r w:rsidRPr="00DC65E1">
        <w:rPr>
          <w:rFonts w:asciiTheme="majorHAnsi" w:hAnsiTheme="majorHAnsi"/>
          <w:sz w:val="24"/>
          <w:szCs w:val="24"/>
        </w:rPr>
        <w:t xml:space="preserve">En cas de prise en charge de l’impôt par la société </w:t>
      </w:r>
      <w:r w:rsidRPr="00B97067">
        <w:rPr>
          <w:rFonts w:asciiTheme="majorHAnsi" w:hAnsiTheme="majorHAnsi"/>
          <w:b/>
          <w:bCs/>
          <w:i/>
          <w:iCs/>
          <w:sz w:val="24"/>
          <w:szCs w:val="24"/>
        </w:rPr>
        <w:t>« KLM plus »</w:t>
      </w:r>
      <w:r w:rsidRPr="00DC65E1">
        <w:rPr>
          <w:rFonts w:asciiTheme="majorHAnsi" w:hAnsiTheme="majorHAnsi"/>
          <w:sz w:val="24"/>
          <w:szCs w:val="24"/>
        </w:rPr>
        <w:t>, la retenue à la source doit être effectuée au taux de 17,64%, soit :</w:t>
      </w:r>
      <w:r>
        <w:rPr>
          <w:rFonts w:asciiTheme="majorHAnsi" w:hAnsiTheme="majorHAnsi"/>
          <w:sz w:val="24"/>
          <w:szCs w:val="24"/>
        </w:rPr>
        <w:t xml:space="preserve"> 200.000,000 </w:t>
      </w:r>
      <w:r w:rsidRPr="00922D2E">
        <w:rPr>
          <w:rFonts w:asciiTheme="majorHAnsi" w:hAnsiTheme="majorHAnsi"/>
          <w:sz w:val="24"/>
          <w:szCs w:val="24"/>
        </w:rPr>
        <w:t>x</w:t>
      </w:r>
      <w:r>
        <w:rPr>
          <w:rFonts w:asciiTheme="majorHAnsi" w:hAnsiTheme="majorHAnsi"/>
          <w:sz w:val="24"/>
          <w:szCs w:val="24"/>
        </w:rPr>
        <w:t xml:space="preserve"> 1,12 </w:t>
      </w:r>
      <w:r w:rsidRPr="00922D2E">
        <w:rPr>
          <w:rFonts w:asciiTheme="majorHAnsi" w:hAnsiTheme="majorHAnsi"/>
          <w:sz w:val="24"/>
          <w:szCs w:val="24"/>
        </w:rPr>
        <w:t>x</w:t>
      </w:r>
      <w:r>
        <w:rPr>
          <w:rFonts w:asciiTheme="majorHAnsi" w:hAnsiTheme="majorHAnsi"/>
          <w:sz w:val="24"/>
          <w:szCs w:val="24"/>
        </w:rPr>
        <w:t xml:space="preserve"> 17,64 % = 39.513,600 TND</w:t>
      </w:r>
      <w:r w:rsidR="00A43776">
        <w:rPr>
          <w:rFonts w:asciiTheme="majorHAnsi" w:hAnsiTheme="majorHAnsi"/>
          <w:sz w:val="24"/>
          <w:szCs w:val="24"/>
        </w:rPr>
        <w:t>.</w:t>
      </w:r>
    </w:p>
    <w:p w:rsidR="00621EAB" w:rsidRPr="00621EAB" w:rsidRDefault="00621EAB" w:rsidP="00621EAB">
      <w:pPr>
        <w:tabs>
          <w:tab w:val="left" w:pos="709"/>
        </w:tabs>
        <w:spacing w:before="120" w:after="120" w:line="360" w:lineRule="auto"/>
        <w:ind w:left="360"/>
        <w:jc w:val="both"/>
        <w:rPr>
          <w:rFonts w:asciiTheme="majorHAnsi" w:hAnsiTheme="majorHAnsi"/>
          <w:b/>
          <w:bCs/>
          <w:i/>
          <w:iCs/>
          <w:sz w:val="24"/>
          <w:szCs w:val="24"/>
        </w:rPr>
      </w:pPr>
      <w:r w:rsidRPr="00621EAB">
        <w:rPr>
          <w:rFonts w:asciiTheme="majorHAnsi" w:hAnsiTheme="majorHAnsi"/>
          <w:b/>
          <w:bCs/>
          <w:i/>
          <w:iCs/>
          <w:sz w:val="24"/>
          <w:szCs w:val="24"/>
        </w:rPr>
        <w:t>En matière de TVA</w:t>
      </w:r>
    </w:p>
    <w:p w:rsidR="00DC65E1" w:rsidRDefault="00DC65E1" w:rsidP="00DC65E1">
      <w:pPr>
        <w:tabs>
          <w:tab w:val="left" w:pos="709"/>
        </w:tabs>
        <w:spacing w:before="120" w:after="120" w:line="360" w:lineRule="auto"/>
        <w:jc w:val="both"/>
        <w:rPr>
          <w:rFonts w:asciiTheme="majorHAnsi" w:hAnsiTheme="majorHAnsi"/>
          <w:sz w:val="24"/>
          <w:szCs w:val="24"/>
        </w:rPr>
      </w:pPr>
      <w:r w:rsidRPr="00AA276B">
        <w:rPr>
          <w:rFonts w:asciiTheme="majorHAnsi" w:hAnsiTheme="majorHAnsi"/>
          <w:sz w:val="24"/>
          <w:szCs w:val="24"/>
        </w:rPr>
        <w:t>Les rémunérations sont la contrepartie d’un service consommé en Tunisie,</w:t>
      </w:r>
      <w:r>
        <w:rPr>
          <w:rFonts w:asciiTheme="majorHAnsi" w:hAnsiTheme="majorHAnsi"/>
          <w:sz w:val="24"/>
          <w:szCs w:val="24"/>
        </w:rPr>
        <w:t xml:space="preserve"> </w:t>
      </w:r>
      <w:r w:rsidRPr="00AA276B">
        <w:rPr>
          <w:rFonts w:asciiTheme="majorHAnsi" w:hAnsiTheme="majorHAnsi"/>
          <w:sz w:val="24"/>
          <w:szCs w:val="24"/>
        </w:rPr>
        <w:t>elles rentrent donc dans le champ d’application territoriale de la TVA qui est</w:t>
      </w:r>
      <w:r>
        <w:rPr>
          <w:rFonts w:asciiTheme="majorHAnsi" w:hAnsiTheme="majorHAnsi"/>
          <w:sz w:val="24"/>
          <w:szCs w:val="24"/>
        </w:rPr>
        <w:t xml:space="preserve"> </w:t>
      </w:r>
      <w:r w:rsidRPr="00AA276B">
        <w:rPr>
          <w:rFonts w:asciiTheme="majorHAnsi" w:hAnsiTheme="majorHAnsi"/>
          <w:sz w:val="24"/>
          <w:szCs w:val="24"/>
        </w:rPr>
        <w:t>due au taux de 1</w:t>
      </w:r>
      <w:r>
        <w:rPr>
          <w:rFonts w:asciiTheme="majorHAnsi" w:hAnsiTheme="majorHAnsi"/>
          <w:sz w:val="24"/>
          <w:szCs w:val="24"/>
        </w:rPr>
        <w:t xml:space="preserve">2 </w:t>
      </w:r>
      <w:r w:rsidRPr="00AA276B">
        <w:rPr>
          <w:rFonts w:asciiTheme="majorHAnsi" w:hAnsiTheme="majorHAnsi"/>
          <w:sz w:val="24"/>
          <w:szCs w:val="24"/>
        </w:rPr>
        <w:t>%.</w:t>
      </w:r>
    </w:p>
    <w:p w:rsidR="005E3855" w:rsidRDefault="005E3855" w:rsidP="00DC65E1">
      <w:pPr>
        <w:tabs>
          <w:tab w:val="left" w:pos="709"/>
        </w:tabs>
        <w:spacing w:before="120" w:after="120" w:line="360" w:lineRule="auto"/>
        <w:jc w:val="both"/>
        <w:rPr>
          <w:rFonts w:asciiTheme="majorHAnsi" w:hAnsiTheme="majorHAnsi"/>
          <w:sz w:val="24"/>
          <w:szCs w:val="24"/>
        </w:rPr>
      </w:pPr>
    </w:p>
    <w:p w:rsidR="005E3855" w:rsidRDefault="005E3855" w:rsidP="00DC65E1">
      <w:pPr>
        <w:tabs>
          <w:tab w:val="left" w:pos="709"/>
        </w:tabs>
        <w:spacing w:before="120" w:after="120" w:line="360" w:lineRule="auto"/>
        <w:jc w:val="both"/>
        <w:rPr>
          <w:rFonts w:asciiTheme="majorHAnsi" w:hAnsiTheme="majorHAnsi"/>
          <w:sz w:val="24"/>
          <w:szCs w:val="24"/>
        </w:rPr>
      </w:pPr>
    </w:p>
    <w:p w:rsidR="00F17DC9" w:rsidRDefault="00DC65E1" w:rsidP="00F17DC9">
      <w:pPr>
        <w:spacing w:before="120" w:after="120" w:line="360" w:lineRule="auto"/>
        <w:jc w:val="both"/>
        <w:rPr>
          <w:rFonts w:asciiTheme="majorHAnsi" w:hAnsiTheme="majorHAnsi"/>
          <w:sz w:val="24"/>
          <w:szCs w:val="24"/>
        </w:rPr>
      </w:pPr>
      <w:r w:rsidRPr="004139EE">
        <w:rPr>
          <w:rFonts w:asciiTheme="majorHAnsi" w:hAnsiTheme="majorHAnsi"/>
          <w:sz w:val="24"/>
          <w:szCs w:val="24"/>
        </w:rPr>
        <w:lastRenderedPageBreak/>
        <w:t xml:space="preserve">Etant non établie en Tunisie, la société </w:t>
      </w:r>
      <w:r w:rsidRPr="00295461">
        <w:rPr>
          <w:rFonts w:asciiTheme="majorHAnsi" w:hAnsiTheme="majorHAnsi"/>
          <w:b/>
          <w:bCs/>
          <w:i/>
          <w:iCs/>
          <w:sz w:val="24"/>
          <w:szCs w:val="24"/>
        </w:rPr>
        <w:t>« Cinq Etoile »</w:t>
      </w:r>
      <w:r w:rsidRPr="00295461">
        <w:rPr>
          <w:rFonts w:asciiTheme="majorHAnsi" w:hAnsiTheme="majorHAnsi"/>
          <w:sz w:val="24"/>
          <w:szCs w:val="24"/>
        </w:rPr>
        <w:t xml:space="preserve"> </w:t>
      </w:r>
      <w:r w:rsidRPr="004139EE">
        <w:rPr>
          <w:rFonts w:asciiTheme="majorHAnsi" w:hAnsiTheme="majorHAnsi"/>
          <w:sz w:val="24"/>
          <w:szCs w:val="24"/>
        </w:rPr>
        <w:t xml:space="preserve">sera soumise </w:t>
      </w:r>
      <w:r>
        <w:rPr>
          <w:rFonts w:asciiTheme="majorHAnsi" w:hAnsiTheme="majorHAnsi"/>
          <w:sz w:val="24"/>
          <w:szCs w:val="24"/>
        </w:rPr>
        <w:t>à</w:t>
      </w:r>
      <w:r w:rsidRPr="004139EE">
        <w:rPr>
          <w:rFonts w:asciiTheme="majorHAnsi" w:hAnsiTheme="majorHAnsi"/>
          <w:sz w:val="24"/>
          <w:szCs w:val="24"/>
        </w:rPr>
        <w:t xml:space="preserve"> la retenue </w:t>
      </w:r>
      <w:r>
        <w:rPr>
          <w:rFonts w:asciiTheme="majorHAnsi" w:hAnsiTheme="majorHAnsi"/>
          <w:sz w:val="24"/>
          <w:szCs w:val="24"/>
        </w:rPr>
        <w:t>à</w:t>
      </w:r>
      <w:r w:rsidRPr="004139EE">
        <w:rPr>
          <w:rFonts w:asciiTheme="majorHAnsi" w:hAnsiTheme="majorHAnsi"/>
          <w:sz w:val="24"/>
          <w:szCs w:val="24"/>
        </w:rPr>
        <w:t xml:space="preserve"> la source au titre de la TVA au taux de 100%, et ceux conformément aux dispositions de l’article 19 du code TVA qui stipule</w:t>
      </w:r>
      <w:r>
        <w:rPr>
          <w:rFonts w:asciiTheme="majorHAnsi" w:hAnsiTheme="majorHAnsi"/>
          <w:sz w:val="24"/>
          <w:szCs w:val="24"/>
        </w:rPr>
        <w:t> :</w:t>
      </w:r>
      <w:r w:rsidRPr="004139EE">
        <w:rPr>
          <w:rFonts w:asciiTheme="majorHAnsi" w:hAnsiTheme="majorHAnsi"/>
          <w:sz w:val="24"/>
          <w:szCs w:val="24"/>
        </w:rPr>
        <w:t xml:space="preserve"> « </w:t>
      </w:r>
      <w:r w:rsidRPr="00436061">
        <w:rPr>
          <w:rFonts w:asciiTheme="majorHAnsi" w:hAnsiTheme="majorHAnsi"/>
          <w:sz w:val="24"/>
          <w:szCs w:val="24"/>
        </w:rPr>
        <w:t xml:space="preserve">en cas de réalisation par les personnes morales et les personne physiques n’ayant pas d’établissement en Tunisie d’opérations soumises </w:t>
      </w:r>
      <w:r>
        <w:rPr>
          <w:rFonts w:asciiTheme="majorHAnsi" w:hAnsiTheme="majorHAnsi"/>
          <w:sz w:val="24"/>
          <w:szCs w:val="24"/>
        </w:rPr>
        <w:t>à</w:t>
      </w:r>
      <w:r w:rsidRPr="00436061">
        <w:rPr>
          <w:rFonts w:asciiTheme="majorHAnsi" w:hAnsiTheme="majorHAnsi"/>
          <w:sz w:val="24"/>
          <w:szCs w:val="24"/>
        </w:rPr>
        <w:t xml:space="preserve"> la taxe sur la valeur ajouté, </w:t>
      </w:r>
      <w:r w:rsidRPr="00436061">
        <w:rPr>
          <w:rFonts w:asciiTheme="majorHAnsi" w:hAnsiTheme="majorHAnsi"/>
          <w:b/>
          <w:bCs/>
          <w:i/>
          <w:iCs/>
          <w:sz w:val="24"/>
          <w:szCs w:val="24"/>
        </w:rPr>
        <w:t>leurs clients</w:t>
      </w:r>
      <w:r w:rsidRPr="00436061">
        <w:rPr>
          <w:rFonts w:asciiTheme="majorHAnsi" w:hAnsiTheme="majorHAnsi"/>
          <w:sz w:val="24"/>
          <w:szCs w:val="24"/>
        </w:rPr>
        <w:t xml:space="preserve"> sont tenus de </w:t>
      </w:r>
      <w:r w:rsidRPr="00427628">
        <w:rPr>
          <w:rFonts w:asciiTheme="majorHAnsi" w:hAnsiTheme="majorHAnsi"/>
          <w:b/>
          <w:bCs/>
          <w:i/>
          <w:iCs/>
          <w:sz w:val="24"/>
          <w:szCs w:val="24"/>
        </w:rPr>
        <w:t>retenir</w:t>
      </w:r>
      <w:r w:rsidRPr="00436061">
        <w:rPr>
          <w:rFonts w:asciiTheme="majorHAnsi" w:hAnsiTheme="majorHAnsi"/>
          <w:sz w:val="24"/>
          <w:szCs w:val="24"/>
        </w:rPr>
        <w:t xml:space="preserve"> la taxe sur la valeur ajouté</w:t>
      </w:r>
      <w:r>
        <w:rPr>
          <w:rFonts w:asciiTheme="majorHAnsi" w:hAnsiTheme="majorHAnsi"/>
          <w:sz w:val="24"/>
          <w:szCs w:val="24"/>
        </w:rPr>
        <w:t>e</w:t>
      </w:r>
      <w:r w:rsidRPr="00436061">
        <w:rPr>
          <w:rFonts w:asciiTheme="majorHAnsi" w:hAnsiTheme="majorHAnsi"/>
          <w:sz w:val="24"/>
          <w:szCs w:val="24"/>
        </w:rPr>
        <w:t xml:space="preserve"> d</w:t>
      </w:r>
      <w:r>
        <w:rPr>
          <w:rFonts w:asciiTheme="majorHAnsi" w:hAnsiTheme="majorHAnsi"/>
          <w:sz w:val="24"/>
          <w:szCs w:val="24"/>
        </w:rPr>
        <w:t>û</w:t>
      </w:r>
      <w:r w:rsidRPr="00436061">
        <w:rPr>
          <w:rFonts w:asciiTheme="majorHAnsi" w:hAnsiTheme="majorHAnsi"/>
          <w:sz w:val="24"/>
          <w:szCs w:val="24"/>
        </w:rPr>
        <w:t xml:space="preserve"> au titre de ces opérations. Cette retenue est libératoire de ladite taxe</w:t>
      </w:r>
      <w:r w:rsidRPr="004139EE">
        <w:rPr>
          <w:rFonts w:asciiTheme="majorHAnsi" w:hAnsiTheme="majorHAnsi"/>
          <w:sz w:val="24"/>
          <w:szCs w:val="24"/>
        </w:rPr>
        <w:t> ». </w:t>
      </w:r>
    </w:p>
    <w:p w:rsidR="00DC65E1" w:rsidRDefault="00DC65E1" w:rsidP="00F17DC9">
      <w:pPr>
        <w:spacing w:before="120" w:after="120" w:line="360" w:lineRule="auto"/>
        <w:jc w:val="both"/>
        <w:rPr>
          <w:rFonts w:asciiTheme="majorHAnsi" w:hAnsiTheme="majorHAnsi"/>
          <w:sz w:val="24"/>
          <w:szCs w:val="24"/>
          <w:lang w:bidi="ar-TN"/>
        </w:rPr>
      </w:pPr>
      <w:r w:rsidRPr="004139EE">
        <w:rPr>
          <w:rFonts w:asciiTheme="majorHAnsi" w:hAnsiTheme="majorHAnsi"/>
          <w:sz w:val="24"/>
          <w:szCs w:val="24"/>
        </w:rPr>
        <w:t xml:space="preserve"> La TVA retenu à la source est déterminée comme suit </w:t>
      </w:r>
      <w:r>
        <w:rPr>
          <w:rFonts w:asciiTheme="majorHAnsi" w:hAnsiTheme="majorHAnsi"/>
          <w:sz w:val="24"/>
          <w:szCs w:val="24"/>
        </w:rPr>
        <w:t xml:space="preserve">= </w:t>
      </w:r>
      <w:r w:rsidR="00F17DC9">
        <w:rPr>
          <w:rFonts w:asciiTheme="majorHAnsi" w:hAnsiTheme="majorHAnsi"/>
          <w:sz w:val="24"/>
          <w:szCs w:val="24"/>
        </w:rPr>
        <w:t xml:space="preserve">200.000,000 </w:t>
      </w:r>
      <w:proofErr w:type="spellStart"/>
      <w:r w:rsidRPr="00F17DC9">
        <w:rPr>
          <w:rFonts w:asciiTheme="majorHAnsi" w:hAnsiTheme="majorHAnsi" w:hint="cs"/>
          <w:sz w:val="24"/>
          <w:szCs w:val="24"/>
          <w:rtl/>
          <w:lang w:val="en-US" w:bidi="ar-TN"/>
        </w:rPr>
        <w:t>×</w:t>
      </w:r>
      <w:proofErr w:type="spellEnd"/>
      <w:r w:rsidRPr="00F17DC9">
        <w:rPr>
          <w:rFonts w:asciiTheme="majorHAnsi" w:hAnsiTheme="majorHAnsi"/>
          <w:sz w:val="24"/>
          <w:szCs w:val="24"/>
        </w:rPr>
        <w:t>0,1</w:t>
      </w:r>
      <w:r w:rsidR="00F17DC9" w:rsidRPr="00F17DC9">
        <w:rPr>
          <w:rFonts w:asciiTheme="majorHAnsi" w:hAnsiTheme="majorHAnsi"/>
          <w:sz w:val="24"/>
          <w:szCs w:val="24"/>
        </w:rPr>
        <w:t>2</w:t>
      </w:r>
      <w:r w:rsidRPr="00F17DC9">
        <w:rPr>
          <w:rFonts w:asciiTheme="majorHAnsi" w:hAnsiTheme="majorHAnsi"/>
          <w:sz w:val="24"/>
          <w:szCs w:val="24"/>
        </w:rPr>
        <w:t xml:space="preserve"> </w:t>
      </w:r>
      <w:r w:rsidRPr="00F17DC9">
        <w:rPr>
          <w:rFonts w:asciiTheme="majorHAnsi" w:hAnsiTheme="majorHAnsi"/>
          <w:sz w:val="24"/>
          <w:szCs w:val="24"/>
          <w:lang w:bidi="ar-TN"/>
        </w:rPr>
        <w:t xml:space="preserve">= </w:t>
      </w:r>
      <w:r w:rsidR="00F17DC9">
        <w:rPr>
          <w:rFonts w:asciiTheme="majorHAnsi" w:hAnsiTheme="majorHAnsi"/>
          <w:sz w:val="24"/>
          <w:szCs w:val="24"/>
          <w:lang w:bidi="ar-TN"/>
        </w:rPr>
        <w:t>24</w:t>
      </w:r>
      <w:r w:rsidRPr="00F17DC9">
        <w:rPr>
          <w:rFonts w:asciiTheme="majorHAnsi" w:hAnsiTheme="majorHAnsi"/>
          <w:sz w:val="24"/>
          <w:szCs w:val="24"/>
          <w:lang w:bidi="ar-TN"/>
        </w:rPr>
        <w:t>.000,000 TND.</w:t>
      </w:r>
    </w:p>
    <w:p w:rsidR="00F17DC9" w:rsidRDefault="00F17DC9" w:rsidP="00F17DC9">
      <w:pPr>
        <w:tabs>
          <w:tab w:val="left" w:pos="709"/>
        </w:tabs>
        <w:spacing w:before="120" w:after="120" w:line="360" w:lineRule="auto"/>
        <w:jc w:val="both"/>
        <w:rPr>
          <w:rFonts w:asciiTheme="majorHAnsi" w:hAnsiTheme="majorHAnsi"/>
          <w:sz w:val="24"/>
          <w:szCs w:val="24"/>
        </w:rPr>
      </w:pPr>
      <w:r w:rsidRPr="00AA276B">
        <w:rPr>
          <w:rFonts w:asciiTheme="majorHAnsi" w:hAnsiTheme="majorHAnsi"/>
          <w:sz w:val="24"/>
          <w:szCs w:val="24"/>
        </w:rPr>
        <w:t xml:space="preserve">Cependant, la société </w:t>
      </w:r>
      <w:r w:rsidRPr="00295461">
        <w:rPr>
          <w:rFonts w:asciiTheme="majorHAnsi" w:hAnsiTheme="majorHAnsi"/>
          <w:b/>
          <w:bCs/>
          <w:i/>
          <w:iCs/>
          <w:sz w:val="24"/>
          <w:szCs w:val="24"/>
        </w:rPr>
        <w:t>« Cinq Etoile »</w:t>
      </w:r>
      <w:r w:rsidRPr="00295461">
        <w:rPr>
          <w:rFonts w:asciiTheme="majorHAnsi" w:hAnsiTheme="majorHAnsi"/>
          <w:sz w:val="24"/>
          <w:szCs w:val="24"/>
        </w:rPr>
        <w:t xml:space="preserve"> </w:t>
      </w:r>
      <w:r w:rsidRPr="00AA276B">
        <w:rPr>
          <w:rFonts w:asciiTheme="majorHAnsi" w:hAnsiTheme="majorHAnsi"/>
          <w:sz w:val="24"/>
          <w:szCs w:val="24"/>
        </w:rPr>
        <w:t xml:space="preserve">peut toujours </w:t>
      </w:r>
      <w:r w:rsidRPr="00CB2C35">
        <w:rPr>
          <w:rFonts w:asciiTheme="majorHAnsi" w:hAnsiTheme="majorHAnsi"/>
          <w:b/>
          <w:bCs/>
          <w:i/>
          <w:iCs/>
          <w:sz w:val="24"/>
          <w:szCs w:val="24"/>
        </w:rPr>
        <w:t xml:space="preserve">opter </w:t>
      </w:r>
      <w:r w:rsidRPr="00AA276B">
        <w:rPr>
          <w:rFonts w:asciiTheme="majorHAnsi" w:hAnsiTheme="majorHAnsi"/>
          <w:sz w:val="24"/>
          <w:szCs w:val="24"/>
        </w:rPr>
        <w:t>pour son</w:t>
      </w:r>
      <w:r>
        <w:rPr>
          <w:rFonts w:asciiTheme="majorHAnsi" w:hAnsiTheme="majorHAnsi"/>
          <w:sz w:val="24"/>
          <w:szCs w:val="24"/>
        </w:rPr>
        <w:t xml:space="preserve"> </w:t>
      </w:r>
      <w:r w:rsidRPr="00AA276B">
        <w:rPr>
          <w:rFonts w:asciiTheme="majorHAnsi" w:hAnsiTheme="majorHAnsi"/>
          <w:sz w:val="24"/>
          <w:szCs w:val="24"/>
        </w:rPr>
        <w:t>assujettissement à la TVA selon le régime de droit commun. Dans ce cas</w:t>
      </w:r>
      <w:r>
        <w:rPr>
          <w:rFonts w:asciiTheme="majorHAnsi" w:hAnsiTheme="majorHAnsi"/>
          <w:sz w:val="24"/>
          <w:szCs w:val="24"/>
        </w:rPr>
        <w:t>,</w:t>
      </w:r>
      <w:r w:rsidRPr="00AA276B">
        <w:rPr>
          <w:rFonts w:asciiTheme="majorHAnsi" w:hAnsiTheme="majorHAnsi"/>
          <w:sz w:val="24"/>
          <w:szCs w:val="24"/>
        </w:rPr>
        <w:t xml:space="preserve"> elle</w:t>
      </w:r>
      <w:r>
        <w:rPr>
          <w:rFonts w:asciiTheme="majorHAnsi" w:hAnsiTheme="majorHAnsi"/>
          <w:sz w:val="24"/>
          <w:szCs w:val="24"/>
        </w:rPr>
        <w:t xml:space="preserve"> </w:t>
      </w:r>
      <w:r w:rsidRPr="00AA276B">
        <w:rPr>
          <w:rFonts w:asciiTheme="majorHAnsi" w:hAnsiTheme="majorHAnsi"/>
          <w:sz w:val="24"/>
          <w:szCs w:val="24"/>
        </w:rPr>
        <w:t>bénéficie de la déduction de la TVA ayant grevé les marchandises et les services</w:t>
      </w:r>
      <w:r>
        <w:rPr>
          <w:rFonts w:asciiTheme="majorHAnsi" w:hAnsiTheme="majorHAnsi"/>
          <w:sz w:val="24"/>
          <w:szCs w:val="24"/>
        </w:rPr>
        <w:t xml:space="preserve"> </w:t>
      </w:r>
      <w:r w:rsidRPr="00AA276B">
        <w:rPr>
          <w:rFonts w:asciiTheme="majorHAnsi" w:hAnsiTheme="majorHAnsi"/>
          <w:sz w:val="24"/>
          <w:szCs w:val="24"/>
        </w:rPr>
        <w:t>nécessaires à la réalisation des opérations soumises à ladite taxe. En cas</w:t>
      </w:r>
      <w:r>
        <w:rPr>
          <w:rFonts w:asciiTheme="majorHAnsi" w:hAnsiTheme="majorHAnsi"/>
          <w:sz w:val="24"/>
          <w:szCs w:val="24"/>
        </w:rPr>
        <w:t xml:space="preserve"> </w:t>
      </w:r>
      <w:r w:rsidRPr="00AA276B">
        <w:rPr>
          <w:rFonts w:asciiTheme="majorHAnsi" w:hAnsiTheme="majorHAnsi"/>
          <w:sz w:val="24"/>
          <w:szCs w:val="24"/>
        </w:rPr>
        <w:t>d’apparition d’un crédit de taxe, ce dernier est remboursable conformément à la</w:t>
      </w:r>
      <w:r>
        <w:rPr>
          <w:rFonts w:asciiTheme="majorHAnsi" w:hAnsiTheme="majorHAnsi"/>
          <w:sz w:val="24"/>
          <w:szCs w:val="24"/>
        </w:rPr>
        <w:t xml:space="preserve"> </w:t>
      </w:r>
      <w:r w:rsidRPr="00AA276B">
        <w:rPr>
          <w:rFonts w:asciiTheme="majorHAnsi" w:hAnsiTheme="majorHAnsi"/>
          <w:sz w:val="24"/>
          <w:szCs w:val="24"/>
        </w:rPr>
        <w:t>législation en vigueur.</w:t>
      </w:r>
    </w:p>
    <w:p w:rsidR="00DC65E1" w:rsidRPr="003E08DD" w:rsidRDefault="003E08DD" w:rsidP="006E0FF6">
      <w:pPr>
        <w:pStyle w:val="Paragraphedeliste"/>
        <w:numPr>
          <w:ilvl w:val="0"/>
          <w:numId w:val="35"/>
        </w:numPr>
        <w:spacing w:before="120" w:after="120" w:line="360" w:lineRule="auto"/>
        <w:jc w:val="both"/>
        <w:rPr>
          <w:rFonts w:asciiTheme="majorHAnsi" w:hAnsiTheme="majorHAnsi"/>
          <w:b/>
          <w:bCs/>
          <w:sz w:val="18"/>
          <w:szCs w:val="18"/>
          <w:lang w:bidi="ar-TN"/>
        </w:rPr>
      </w:pPr>
      <w:r>
        <w:rPr>
          <w:rFonts w:asciiTheme="majorHAnsi" w:hAnsiTheme="majorHAnsi"/>
          <w:b/>
          <w:bCs/>
          <w:sz w:val="24"/>
          <w:szCs w:val="24"/>
        </w:rPr>
        <w:t xml:space="preserve">Mise à disposition des cadres </w:t>
      </w:r>
      <w:r w:rsidR="006E0FF6">
        <w:rPr>
          <w:rFonts w:asciiTheme="majorHAnsi" w:hAnsiTheme="majorHAnsi"/>
          <w:b/>
          <w:bCs/>
          <w:sz w:val="24"/>
          <w:szCs w:val="24"/>
        </w:rPr>
        <w:t>pour la</w:t>
      </w:r>
      <w:r w:rsidR="00F17DC9" w:rsidRPr="00F17DC9">
        <w:rPr>
          <w:rFonts w:asciiTheme="majorHAnsi" w:hAnsiTheme="majorHAnsi"/>
          <w:b/>
          <w:bCs/>
          <w:sz w:val="24"/>
          <w:szCs w:val="24"/>
        </w:rPr>
        <w:t xml:space="preserve"> </w:t>
      </w:r>
      <w:r w:rsidR="00F17DC9" w:rsidRPr="00F17DC9">
        <w:rPr>
          <w:rFonts w:asciiTheme="majorHAnsi" w:hAnsiTheme="majorHAnsi"/>
          <w:b/>
          <w:bCs/>
          <w:i/>
          <w:iCs/>
          <w:sz w:val="24"/>
          <w:szCs w:val="24"/>
        </w:rPr>
        <w:t>gestion</w:t>
      </w:r>
      <w:r w:rsidR="00F17DC9" w:rsidRPr="00F17DC9">
        <w:rPr>
          <w:rFonts w:asciiTheme="majorHAnsi" w:hAnsiTheme="majorHAnsi"/>
          <w:b/>
          <w:bCs/>
          <w:sz w:val="24"/>
          <w:szCs w:val="24"/>
        </w:rPr>
        <w:t xml:space="preserve"> hôtelière</w:t>
      </w:r>
    </w:p>
    <w:p w:rsidR="003E08DD" w:rsidRPr="003E08DD" w:rsidRDefault="003E08DD" w:rsidP="003E08DD">
      <w:pPr>
        <w:tabs>
          <w:tab w:val="left" w:pos="709"/>
        </w:tabs>
        <w:spacing w:before="120" w:after="120" w:line="360" w:lineRule="auto"/>
        <w:ind w:left="360"/>
        <w:jc w:val="both"/>
        <w:rPr>
          <w:rFonts w:asciiTheme="majorHAnsi" w:hAnsiTheme="majorHAnsi"/>
          <w:b/>
          <w:bCs/>
          <w:i/>
          <w:iCs/>
          <w:sz w:val="24"/>
          <w:szCs w:val="24"/>
        </w:rPr>
      </w:pPr>
      <w:r w:rsidRPr="003E08DD">
        <w:rPr>
          <w:rFonts w:asciiTheme="majorHAnsi" w:hAnsiTheme="majorHAnsi"/>
          <w:b/>
          <w:bCs/>
          <w:i/>
          <w:iCs/>
          <w:sz w:val="24"/>
          <w:szCs w:val="24"/>
        </w:rPr>
        <w:t>En matière d’IS</w:t>
      </w:r>
    </w:p>
    <w:p w:rsidR="003E08DD" w:rsidRDefault="003E08DD" w:rsidP="003E08DD">
      <w:pPr>
        <w:tabs>
          <w:tab w:val="left" w:pos="709"/>
        </w:tabs>
        <w:spacing w:before="120" w:after="120" w:line="360" w:lineRule="auto"/>
        <w:jc w:val="both"/>
        <w:rPr>
          <w:rFonts w:asciiTheme="majorHAnsi" w:hAnsiTheme="majorHAnsi"/>
          <w:sz w:val="24"/>
          <w:szCs w:val="24"/>
        </w:rPr>
      </w:pPr>
      <w:r>
        <w:rPr>
          <w:rFonts w:asciiTheme="majorHAnsi" w:hAnsiTheme="majorHAnsi"/>
          <w:sz w:val="24"/>
          <w:szCs w:val="24"/>
        </w:rPr>
        <w:t xml:space="preserve">La mise à disposition des cadres de la société </w:t>
      </w:r>
      <w:r w:rsidRPr="00295461">
        <w:rPr>
          <w:rFonts w:asciiTheme="majorHAnsi" w:hAnsiTheme="majorHAnsi"/>
          <w:b/>
          <w:bCs/>
          <w:i/>
          <w:iCs/>
          <w:sz w:val="24"/>
          <w:szCs w:val="24"/>
        </w:rPr>
        <w:t>« Cinq Etoile »</w:t>
      </w:r>
      <w:r>
        <w:rPr>
          <w:rFonts w:asciiTheme="majorHAnsi" w:hAnsiTheme="majorHAnsi"/>
          <w:b/>
          <w:bCs/>
          <w:i/>
          <w:iCs/>
          <w:sz w:val="24"/>
          <w:szCs w:val="24"/>
        </w:rPr>
        <w:t xml:space="preserve"> </w:t>
      </w:r>
      <w:r w:rsidRPr="003E08DD">
        <w:rPr>
          <w:rFonts w:asciiTheme="majorHAnsi" w:hAnsiTheme="majorHAnsi"/>
          <w:sz w:val="24"/>
          <w:szCs w:val="24"/>
        </w:rPr>
        <w:t>à</w:t>
      </w:r>
      <w:r>
        <w:rPr>
          <w:rFonts w:asciiTheme="majorHAnsi" w:hAnsiTheme="majorHAnsi"/>
          <w:b/>
          <w:bCs/>
          <w:i/>
          <w:iCs/>
          <w:sz w:val="24"/>
          <w:szCs w:val="24"/>
        </w:rPr>
        <w:t xml:space="preserve"> </w:t>
      </w:r>
      <w:r>
        <w:rPr>
          <w:rFonts w:asciiTheme="majorHAnsi" w:hAnsiTheme="majorHAnsi"/>
          <w:sz w:val="24"/>
          <w:szCs w:val="24"/>
        </w:rPr>
        <w:t xml:space="preserve">la société </w:t>
      </w:r>
      <w:r w:rsidRPr="00B97067">
        <w:rPr>
          <w:rFonts w:asciiTheme="majorHAnsi" w:hAnsiTheme="majorHAnsi"/>
          <w:b/>
          <w:bCs/>
          <w:i/>
          <w:iCs/>
          <w:sz w:val="24"/>
          <w:szCs w:val="24"/>
        </w:rPr>
        <w:t>« KLM plus »</w:t>
      </w:r>
      <w:r>
        <w:rPr>
          <w:rFonts w:asciiTheme="majorHAnsi" w:hAnsiTheme="majorHAnsi"/>
          <w:sz w:val="24"/>
          <w:szCs w:val="24"/>
        </w:rPr>
        <w:t xml:space="preserve">  afin d’assurer une gestion adéquate de l’unité hôtelière</w:t>
      </w:r>
      <w:r w:rsidRPr="003E08DD">
        <w:rPr>
          <w:rFonts w:asciiTheme="majorHAnsi" w:hAnsiTheme="majorHAnsi"/>
          <w:sz w:val="24"/>
          <w:szCs w:val="24"/>
        </w:rPr>
        <w:t xml:space="preserve"> </w:t>
      </w:r>
      <w:r>
        <w:rPr>
          <w:rFonts w:asciiTheme="majorHAnsi" w:hAnsiTheme="majorHAnsi"/>
          <w:sz w:val="24"/>
          <w:szCs w:val="24"/>
        </w:rPr>
        <w:t xml:space="preserve">constitue une opération </w:t>
      </w:r>
      <w:r w:rsidRPr="003E08DD">
        <w:rPr>
          <w:rFonts w:asciiTheme="majorHAnsi" w:hAnsiTheme="majorHAnsi"/>
          <w:sz w:val="24"/>
          <w:szCs w:val="24"/>
        </w:rPr>
        <w:t xml:space="preserve"> </w:t>
      </w:r>
      <w:r>
        <w:rPr>
          <w:rFonts w:asciiTheme="majorHAnsi" w:hAnsiTheme="majorHAnsi"/>
          <w:sz w:val="24"/>
          <w:szCs w:val="24"/>
        </w:rPr>
        <w:t>d</w:t>
      </w:r>
      <w:r w:rsidRPr="003E08DD">
        <w:rPr>
          <w:rFonts w:asciiTheme="majorHAnsi" w:hAnsiTheme="majorHAnsi"/>
          <w:sz w:val="24"/>
          <w:szCs w:val="24"/>
        </w:rPr>
        <w:t>’assistance technique</w:t>
      </w:r>
      <w:r>
        <w:rPr>
          <w:rFonts w:asciiTheme="majorHAnsi" w:hAnsiTheme="majorHAnsi"/>
          <w:sz w:val="24"/>
          <w:szCs w:val="24"/>
        </w:rPr>
        <w:t>, puisqu’elle</w:t>
      </w:r>
      <w:r w:rsidRPr="003E08DD">
        <w:rPr>
          <w:rFonts w:asciiTheme="majorHAnsi" w:hAnsiTheme="majorHAnsi"/>
          <w:sz w:val="24"/>
          <w:szCs w:val="24"/>
        </w:rPr>
        <w:t xml:space="preserve"> relève du domaine de </w:t>
      </w:r>
      <w:r w:rsidRPr="009C3307">
        <w:rPr>
          <w:rFonts w:asciiTheme="majorHAnsi" w:hAnsiTheme="majorHAnsi"/>
          <w:b/>
          <w:bCs/>
          <w:i/>
          <w:iCs/>
          <w:sz w:val="24"/>
          <w:szCs w:val="24"/>
        </w:rPr>
        <w:t>l’expérience pratique</w:t>
      </w:r>
      <w:r w:rsidRPr="003E08DD">
        <w:rPr>
          <w:rFonts w:asciiTheme="majorHAnsi" w:hAnsiTheme="majorHAnsi"/>
          <w:sz w:val="24"/>
          <w:szCs w:val="24"/>
        </w:rPr>
        <w:t xml:space="preserve"> dans le sens ou elle consiste à communiquer, par une personne, les </w:t>
      </w:r>
      <w:r w:rsidRPr="009C3307">
        <w:rPr>
          <w:rFonts w:asciiTheme="majorHAnsi" w:hAnsiTheme="majorHAnsi"/>
          <w:b/>
          <w:bCs/>
          <w:i/>
          <w:iCs/>
          <w:sz w:val="24"/>
          <w:szCs w:val="24"/>
        </w:rPr>
        <w:t>connaissances usuelles</w:t>
      </w:r>
      <w:r w:rsidRPr="003E08DD">
        <w:rPr>
          <w:rFonts w:asciiTheme="majorHAnsi" w:hAnsiTheme="majorHAnsi"/>
          <w:sz w:val="24"/>
          <w:szCs w:val="24"/>
        </w:rPr>
        <w:t xml:space="preserve"> de sa profession à une autre personne.</w:t>
      </w:r>
    </w:p>
    <w:p w:rsidR="003E08DD" w:rsidRDefault="0052374E" w:rsidP="0052374E">
      <w:pPr>
        <w:tabs>
          <w:tab w:val="left" w:pos="709"/>
        </w:tabs>
        <w:spacing w:before="120" w:after="120" w:line="360" w:lineRule="auto"/>
        <w:jc w:val="both"/>
        <w:rPr>
          <w:rFonts w:asciiTheme="majorHAnsi" w:hAnsiTheme="majorHAnsi"/>
          <w:sz w:val="24"/>
          <w:szCs w:val="24"/>
        </w:rPr>
      </w:pPr>
      <w:r>
        <w:rPr>
          <w:rFonts w:asciiTheme="majorHAnsi" w:hAnsiTheme="majorHAnsi"/>
          <w:sz w:val="24"/>
          <w:szCs w:val="24"/>
        </w:rPr>
        <w:t>En absence d’un établissement stable et s</w:t>
      </w:r>
      <w:r w:rsidR="003E08DD" w:rsidRPr="003E08DD">
        <w:rPr>
          <w:rFonts w:asciiTheme="majorHAnsi" w:hAnsiTheme="majorHAnsi"/>
          <w:sz w:val="24"/>
          <w:szCs w:val="24"/>
        </w:rPr>
        <w:t>’agissant d’une opération</w:t>
      </w:r>
      <w:r w:rsidR="009018F7">
        <w:rPr>
          <w:rFonts w:asciiTheme="majorHAnsi" w:hAnsiTheme="majorHAnsi"/>
          <w:sz w:val="24"/>
          <w:szCs w:val="24"/>
        </w:rPr>
        <w:t xml:space="preserve"> ponctuelle</w:t>
      </w:r>
      <w:r w:rsidR="003E08DD" w:rsidRPr="003E08DD">
        <w:rPr>
          <w:rFonts w:asciiTheme="majorHAnsi" w:hAnsiTheme="majorHAnsi"/>
          <w:sz w:val="24"/>
          <w:szCs w:val="24"/>
        </w:rPr>
        <w:t>, qui ne figure pas dans la définition du terme</w:t>
      </w:r>
      <w:r w:rsidR="009018F7">
        <w:rPr>
          <w:rFonts w:asciiTheme="majorHAnsi" w:hAnsiTheme="majorHAnsi"/>
          <w:sz w:val="24"/>
          <w:szCs w:val="24"/>
        </w:rPr>
        <w:t xml:space="preserve"> </w:t>
      </w:r>
      <w:r w:rsidR="003E08DD" w:rsidRPr="00FB15C4">
        <w:rPr>
          <w:rFonts w:asciiTheme="majorHAnsi" w:hAnsiTheme="majorHAnsi"/>
          <w:b/>
          <w:bCs/>
          <w:i/>
          <w:iCs/>
          <w:sz w:val="24"/>
          <w:szCs w:val="24"/>
        </w:rPr>
        <w:t>«redevance»</w:t>
      </w:r>
      <w:r w:rsidR="003E08DD" w:rsidRPr="003E08DD">
        <w:rPr>
          <w:rFonts w:asciiTheme="majorHAnsi" w:hAnsiTheme="majorHAnsi"/>
          <w:sz w:val="24"/>
          <w:szCs w:val="24"/>
        </w:rPr>
        <w:t xml:space="preserve"> prévu par l’article 12 de la convention </w:t>
      </w:r>
      <w:proofErr w:type="spellStart"/>
      <w:r w:rsidR="003E08DD" w:rsidRPr="00FF49F1">
        <w:rPr>
          <w:rFonts w:asciiTheme="majorHAnsi" w:hAnsiTheme="majorHAnsi"/>
          <w:sz w:val="24"/>
          <w:szCs w:val="24"/>
        </w:rPr>
        <w:t>Tuniso</w:t>
      </w:r>
      <w:proofErr w:type="spellEnd"/>
      <w:r w:rsidR="003E08DD" w:rsidRPr="00FF49F1">
        <w:rPr>
          <w:rFonts w:asciiTheme="majorHAnsi" w:hAnsiTheme="majorHAnsi"/>
          <w:sz w:val="24"/>
          <w:szCs w:val="24"/>
        </w:rPr>
        <w:t>-</w:t>
      </w:r>
      <w:r w:rsidR="003E08DD">
        <w:rPr>
          <w:rFonts w:asciiTheme="majorHAnsi" w:hAnsiTheme="majorHAnsi"/>
          <w:sz w:val="24"/>
          <w:szCs w:val="24"/>
        </w:rPr>
        <w:t>Espagnole</w:t>
      </w:r>
      <w:r w:rsidR="003E08DD" w:rsidRPr="003E08DD">
        <w:rPr>
          <w:rFonts w:asciiTheme="majorHAnsi" w:hAnsiTheme="majorHAnsi"/>
          <w:sz w:val="24"/>
          <w:szCs w:val="24"/>
        </w:rPr>
        <w:t xml:space="preserve"> de non double</w:t>
      </w:r>
      <w:r w:rsidR="003E08DD">
        <w:rPr>
          <w:rFonts w:asciiTheme="majorHAnsi" w:hAnsiTheme="majorHAnsi"/>
          <w:sz w:val="24"/>
          <w:szCs w:val="24"/>
        </w:rPr>
        <w:t xml:space="preserve"> </w:t>
      </w:r>
      <w:r w:rsidR="003E08DD" w:rsidRPr="003E08DD">
        <w:rPr>
          <w:rFonts w:asciiTheme="majorHAnsi" w:hAnsiTheme="majorHAnsi"/>
          <w:sz w:val="24"/>
          <w:szCs w:val="24"/>
        </w:rPr>
        <w:t xml:space="preserve">imposition, la société </w:t>
      </w:r>
      <w:r w:rsidR="003E08DD" w:rsidRPr="00295461">
        <w:rPr>
          <w:rFonts w:asciiTheme="majorHAnsi" w:hAnsiTheme="majorHAnsi"/>
          <w:b/>
          <w:bCs/>
          <w:i/>
          <w:iCs/>
          <w:sz w:val="24"/>
          <w:szCs w:val="24"/>
        </w:rPr>
        <w:t>« Cinq Etoile »</w:t>
      </w:r>
      <w:r w:rsidR="003E08DD">
        <w:rPr>
          <w:rFonts w:asciiTheme="majorHAnsi" w:hAnsiTheme="majorHAnsi"/>
          <w:b/>
          <w:bCs/>
          <w:i/>
          <w:iCs/>
          <w:sz w:val="24"/>
          <w:szCs w:val="24"/>
        </w:rPr>
        <w:t xml:space="preserve"> </w:t>
      </w:r>
      <w:r w:rsidR="003E08DD" w:rsidRPr="003E08DD">
        <w:rPr>
          <w:rFonts w:asciiTheme="majorHAnsi" w:hAnsiTheme="majorHAnsi"/>
          <w:sz w:val="24"/>
          <w:szCs w:val="24"/>
        </w:rPr>
        <w:t>n’est pas imposable en Tunisie à</w:t>
      </w:r>
      <w:r w:rsidR="003E08DD">
        <w:rPr>
          <w:rFonts w:asciiTheme="majorHAnsi" w:hAnsiTheme="majorHAnsi"/>
          <w:sz w:val="24"/>
          <w:szCs w:val="24"/>
        </w:rPr>
        <w:t xml:space="preserve"> </w:t>
      </w:r>
      <w:r w:rsidR="003E08DD" w:rsidRPr="003E08DD">
        <w:rPr>
          <w:rFonts w:asciiTheme="majorHAnsi" w:hAnsiTheme="majorHAnsi"/>
          <w:sz w:val="24"/>
          <w:szCs w:val="24"/>
        </w:rPr>
        <w:t>ce titre.</w:t>
      </w:r>
    </w:p>
    <w:p w:rsidR="0052374E" w:rsidRDefault="0052374E" w:rsidP="006838A0">
      <w:pPr>
        <w:spacing w:before="120" w:after="120" w:line="360" w:lineRule="auto"/>
        <w:jc w:val="both"/>
        <w:rPr>
          <w:rFonts w:asciiTheme="majorHAnsi" w:hAnsiTheme="majorHAnsi"/>
        </w:rPr>
      </w:pPr>
      <w:r w:rsidRPr="0052374E">
        <w:rPr>
          <w:rFonts w:asciiTheme="majorHAnsi" w:hAnsiTheme="majorHAnsi"/>
          <w:b/>
          <w:bCs/>
          <w:i/>
          <w:iCs/>
          <w:sz w:val="24"/>
          <w:szCs w:val="24"/>
        </w:rPr>
        <w:t>Remarque :</w:t>
      </w:r>
      <w:r>
        <w:rPr>
          <w:rFonts w:asciiTheme="majorHAnsi" w:hAnsiTheme="majorHAnsi"/>
          <w:sz w:val="24"/>
          <w:szCs w:val="24"/>
        </w:rPr>
        <w:t xml:space="preserve"> </w:t>
      </w:r>
      <w:r w:rsidRPr="006838A0">
        <w:rPr>
          <w:rFonts w:asciiTheme="majorHAnsi" w:hAnsiTheme="majorHAnsi"/>
        </w:rPr>
        <w:t xml:space="preserve">En absence d’une véritable instalation fixe d’affaire la société </w:t>
      </w:r>
      <w:r w:rsidRPr="006838A0">
        <w:rPr>
          <w:rFonts w:asciiTheme="majorHAnsi" w:hAnsiTheme="majorHAnsi"/>
          <w:b/>
          <w:bCs/>
          <w:i/>
          <w:iCs/>
        </w:rPr>
        <w:t>« Cinq Etoile »</w:t>
      </w:r>
      <w:r w:rsidR="006838A0">
        <w:rPr>
          <w:rFonts w:asciiTheme="majorHAnsi" w:hAnsiTheme="majorHAnsi"/>
          <w:b/>
          <w:bCs/>
          <w:i/>
          <w:iCs/>
        </w:rPr>
        <w:t>,</w:t>
      </w:r>
      <w:r w:rsidRPr="006838A0">
        <w:rPr>
          <w:rFonts w:asciiTheme="majorHAnsi" w:hAnsiTheme="majorHAnsi"/>
          <w:b/>
          <w:bCs/>
          <w:i/>
          <w:iCs/>
        </w:rPr>
        <w:t xml:space="preserve"> </w:t>
      </w:r>
      <w:r w:rsidRPr="006838A0">
        <w:rPr>
          <w:rFonts w:asciiTheme="majorHAnsi" w:hAnsiTheme="majorHAnsi"/>
        </w:rPr>
        <w:t>peu</w:t>
      </w:r>
      <w:r w:rsidR="006838A0" w:rsidRPr="006838A0">
        <w:rPr>
          <w:rFonts w:asciiTheme="majorHAnsi" w:hAnsiTheme="majorHAnsi"/>
        </w:rPr>
        <w:t>t</w:t>
      </w:r>
      <w:r w:rsidRPr="006838A0">
        <w:rPr>
          <w:rFonts w:asciiTheme="majorHAnsi" w:hAnsiTheme="majorHAnsi"/>
        </w:rPr>
        <w:t xml:space="preserve"> néanmoins</w:t>
      </w:r>
      <w:r w:rsidR="006838A0">
        <w:rPr>
          <w:rFonts w:asciiTheme="majorHAnsi" w:hAnsiTheme="majorHAnsi"/>
        </w:rPr>
        <w:t>,</w:t>
      </w:r>
      <w:r w:rsidRPr="006838A0">
        <w:rPr>
          <w:rFonts w:asciiTheme="majorHAnsi" w:hAnsiTheme="majorHAnsi"/>
        </w:rPr>
        <w:t xml:space="preserve"> avoir un établissement  stable dans l’hypothèse ou elle exerce une gestion adéquate de l’unité hôtelière par l’intermédiaire de ces deux cadres</w:t>
      </w:r>
      <w:r w:rsidRPr="001B3331">
        <w:rPr>
          <w:rFonts w:asciiTheme="majorHAnsi" w:hAnsiTheme="majorHAnsi"/>
          <w:sz w:val="24"/>
          <w:szCs w:val="24"/>
        </w:rPr>
        <w:t xml:space="preserve"> </w:t>
      </w:r>
      <w:r w:rsidRPr="006838A0">
        <w:rPr>
          <w:rFonts w:asciiTheme="majorHAnsi" w:hAnsiTheme="majorHAnsi"/>
        </w:rPr>
        <w:t xml:space="preserve">agissant pour son </w:t>
      </w:r>
      <w:r w:rsidRPr="006838A0">
        <w:rPr>
          <w:rFonts w:asciiTheme="majorHAnsi" w:hAnsiTheme="majorHAnsi"/>
          <w:b/>
          <w:bCs/>
          <w:i/>
          <w:iCs/>
        </w:rPr>
        <w:t>propre compte</w:t>
      </w:r>
      <w:r w:rsidRPr="006838A0">
        <w:rPr>
          <w:rFonts w:asciiTheme="majorHAnsi" w:hAnsiTheme="majorHAnsi"/>
        </w:rPr>
        <w:t>. Il faut que les deux agents remplissent</w:t>
      </w:r>
      <w:r w:rsidR="006838A0">
        <w:rPr>
          <w:rFonts w:asciiTheme="majorHAnsi" w:hAnsiTheme="majorHAnsi"/>
        </w:rPr>
        <w:t xml:space="preserve"> cumulativement</w:t>
      </w:r>
      <w:r w:rsidRPr="006838A0">
        <w:rPr>
          <w:rFonts w:asciiTheme="majorHAnsi" w:hAnsiTheme="majorHAnsi"/>
        </w:rPr>
        <w:t xml:space="preserve"> les conditions suivantes :</w:t>
      </w:r>
    </w:p>
    <w:p w:rsidR="005E3855" w:rsidRDefault="005E3855" w:rsidP="006838A0">
      <w:pPr>
        <w:spacing w:before="120" w:after="120" w:line="360" w:lineRule="auto"/>
        <w:jc w:val="both"/>
        <w:rPr>
          <w:rFonts w:asciiTheme="majorHAnsi" w:hAnsiTheme="majorHAnsi"/>
        </w:rPr>
      </w:pPr>
    </w:p>
    <w:p w:rsidR="005E3855" w:rsidRDefault="005E3855" w:rsidP="006838A0">
      <w:pPr>
        <w:spacing w:before="120" w:after="120" w:line="360" w:lineRule="auto"/>
        <w:jc w:val="both"/>
        <w:rPr>
          <w:rFonts w:asciiTheme="majorHAnsi" w:hAnsiTheme="majorHAnsi"/>
          <w:sz w:val="24"/>
          <w:szCs w:val="24"/>
        </w:rPr>
      </w:pPr>
    </w:p>
    <w:p w:rsidR="0052374E" w:rsidRPr="0052374E" w:rsidRDefault="0052374E" w:rsidP="0052374E">
      <w:pPr>
        <w:pStyle w:val="Paragraphedeliste"/>
        <w:numPr>
          <w:ilvl w:val="0"/>
          <w:numId w:val="43"/>
        </w:numPr>
        <w:spacing w:before="120" w:after="120" w:line="360" w:lineRule="auto"/>
        <w:jc w:val="both"/>
        <w:rPr>
          <w:rFonts w:asciiTheme="majorHAnsi" w:hAnsiTheme="majorHAnsi"/>
          <w:sz w:val="24"/>
          <w:szCs w:val="24"/>
        </w:rPr>
      </w:pPr>
      <w:r w:rsidRPr="0052374E">
        <w:rPr>
          <w:rFonts w:asciiTheme="majorHAnsi" w:hAnsiTheme="majorHAnsi"/>
          <w:b/>
          <w:bCs/>
          <w:sz w:val="24"/>
          <w:szCs w:val="24"/>
        </w:rPr>
        <w:lastRenderedPageBreak/>
        <w:t>Agent</w:t>
      </w:r>
      <w:r w:rsidRPr="0052374E">
        <w:rPr>
          <w:rFonts w:asciiTheme="majorHAnsi" w:hAnsiTheme="majorHAnsi"/>
          <w:sz w:val="24"/>
          <w:szCs w:val="24"/>
        </w:rPr>
        <w:t xml:space="preserve"> </w:t>
      </w:r>
      <w:r w:rsidRPr="0052374E">
        <w:rPr>
          <w:rFonts w:asciiTheme="majorHAnsi" w:hAnsiTheme="majorHAnsi"/>
          <w:b/>
          <w:bCs/>
          <w:sz w:val="24"/>
          <w:szCs w:val="24"/>
        </w:rPr>
        <w:t>dépendant</w:t>
      </w:r>
    </w:p>
    <w:p w:rsidR="0052374E" w:rsidRPr="00F65448" w:rsidRDefault="0052374E" w:rsidP="0052374E">
      <w:pPr>
        <w:spacing w:before="120" w:after="120" w:line="360" w:lineRule="auto"/>
        <w:jc w:val="both"/>
        <w:rPr>
          <w:rFonts w:asciiTheme="majorHAnsi" w:hAnsiTheme="majorHAnsi"/>
          <w:sz w:val="24"/>
          <w:szCs w:val="24"/>
        </w:rPr>
      </w:pPr>
      <w:r>
        <w:rPr>
          <w:rFonts w:asciiTheme="majorHAnsi" w:hAnsiTheme="majorHAnsi"/>
          <w:sz w:val="24"/>
          <w:szCs w:val="24"/>
        </w:rPr>
        <w:t xml:space="preserve">Pour être qualifié comme établissement stable, les deux cadres doivent donc </w:t>
      </w:r>
      <w:r w:rsidRPr="00DC67A0">
        <w:rPr>
          <w:rFonts w:asciiTheme="majorHAnsi" w:hAnsiTheme="majorHAnsi"/>
          <w:b/>
          <w:bCs/>
          <w:i/>
          <w:iCs/>
          <w:sz w:val="24"/>
          <w:szCs w:val="24"/>
        </w:rPr>
        <w:t>être dépendant</w:t>
      </w:r>
      <w:r>
        <w:rPr>
          <w:rFonts w:asciiTheme="majorHAnsi" w:hAnsiTheme="majorHAnsi"/>
          <w:b/>
          <w:bCs/>
          <w:i/>
          <w:iCs/>
          <w:sz w:val="24"/>
          <w:szCs w:val="24"/>
        </w:rPr>
        <w:t>s</w:t>
      </w:r>
      <w:r>
        <w:rPr>
          <w:rFonts w:asciiTheme="majorHAnsi" w:hAnsiTheme="majorHAnsi"/>
          <w:sz w:val="24"/>
          <w:szCs w:val="24"/>
        </w:rPr>
        <w:t xml:space="preserve">, c'est-à-dire ils doivent être placés sous la </w:t>
      </w:r>
      <w:r w:rsidRPr="00DC67A0">
        <w:rPr>
          <w:rFonts w:asciiTheme="majorHAnsi" w:hAnsiTheme="majorHAnsi"/>
          <w:b/>
          <w:bCs/>
          <w:i/>
          <w:iCs/>
          <w:sz w:val="24"/>
          <w:szCs w:val="24"/>
        </w:rPr>
        <w:t>subordination juridique / économique</w:t>
      </w:r>
      <w:r>
        <w:rPr>
          <w:rFonts w:asciiTheme="majorHAnsi" w:hAnsiTheme="majorHAnsi"/>
          <w:sz w:val="24"/>
          <w:szCs w:val="24"/>
        </w:rPr>
        <w:t xml:space="preserve"> de l’entreprise </w:t>
      </w:r>
      <w:r w:rsidRPr="00295461">
        <w:rPr>
          <w:rFonts w:asciiTheme="majorHAnsi" w:hAnsiTheme="majorHAnsi"/>
          <w:b/>
          <w:bCs/>
          <w:i/>
          <w:iCs/>
          <w:sz w:val="24"/>
          <w:szCs w:val="24"/>
        </w:rPr>
        <w:t>« Cinq Etoile »</w:t>
      </w:r>
      <w:r>
        <w:rPr>
          <w:rFonts w:asciiTheme="majorHAnsi" w:hAnsiTheme="majorHAnsi"/>
          <w:sz w:val="24"/>
          <w:szCs w:val="24"/>
        </w:rPr>
        <w:t>.</w:t>
      </w:r>
    </w:p>
    <w:p w:rsidR="0052374E" w:rsidRPr="0052374E" w:rsidRDefault="0052374E" w:rsidP="0052374E">
      <w:pPr>
        <w:pStyle w:val="Paragraphedeliste"/>
        <w:numPr>
          <w:ilvl w:val="0"/>
          <w:numId w:val="43"/>
        </w:numPr>
        <w:spacing w:before="120" w:after="120" w:line="360" w:lineRule="auto"/>
        <w:jc w:val="both"/>
        <w:rPr>
          <w:rFonts w:asciiTheme="majorHAnsi" w:hAnsiTheme="majorHAnsi"/>
          <w:sz w:val="24"/>
          <w:szCs w:val="24"/>
        </w:rPr>
      </w:pPr>
      <w:r w:rsidRPr="0052374E">
        <w:rPr>
          <w:rFonts w:asciiTheme="majorHAnsi" w:hAnsiTheme="majorHAnsi"/>
          <w:b/>
          <w:bCs/>
          <w:sz w:val="24"/>
          <w:szCs w:val="24"/>
        </w:rPr>
        <w:t>L’agent</w:t>
      </w:r>
      <w:r w:rsidRPr="0052374E">
        <w:rPr>
          <w:rFonts w:asciiTheme="majorHAnsi" w:hAnsiTheme="majorHAnsi"/>
          <w:sz w:val="24"/>
          <w:szCs w:val="24"/>
        </w:rPr>
        <w:t xml:space="preserve"> </w:t>
      </w:r>
      <w:r w:rsidRPr="0052374E">
        <w:rPr>
          <w:rFonts w:asciiTheme="majorHAnsi" w:hAnsiTheme="majorHAnsi"/>
          <w:b/>
          <w:bCs/>
          <w:sz w:val="24"/>
          <w:szCs w:val="24"/>
        </w:rPr>
        <w:t>doit être habilité à traiter les contrats de l’entreprise</w:t>
      </w:r>
    </w:p>
    <w:p w:rsidR="0052374E" w:rsidRDefault="0052374E" w:rsidP="0052374E">
      <w:pPr>
        <w:spacing w:before="120" w:after="120" w:line="360" w:lineRule="auto"/>
        <w:jc w:val="both"/>
        <w:rPr>
          <w:rFonts w:asciiTheme="majorHAnsi" w:hAnsiTheme="majorHAnsi"/>
          <w:sz w:val="24"/>
          <w:szCs w:val="24"/>
        </w:rPr>
      </w:pPr>
      <w:r w:rsidRPr="005933F2">
        <w:rPr>
          <w:rFonts w:asciiTheme="majorHAnsi" w:hAnsiTheme="majorHAnsi"/>
          <w:sz w:val="24"/>
          <w:szCs w:val="24"/>
        </w:rPr>
        <w:t>Le critère de dépendance de</w:t>
      </w:r>
      <w:r>
        <w:rPr>
          <w:rFonts w:asciiTheme="majorHAnsi" w:hAnsiTheme="majorHAnsi"/>
          <w:sz w:val="24"/>
          <w:szCs w:val="24"/>
        </w:rPr>
        <w:t>s deux</w:t>
      </w:r>
      <w:r w:rsidRPr="005933F2">
        <w:rPr>
          <w:rFonts w:asciiTheme="majorHAnsi" w:hAnsiTheme="majorHAnsi"/>
          <w:sz w:val="24"/>
          <w:szCs w:val="24"/>
        </w:rPr>
        <w:t xml:space="preserve"> </w:t>
      </w:r>
      <w:r>
        <w:rPr>
          <w:rFonts w:asciiTheme="majorHAnsi" w:hAnsiTheme="majorHAnsi"/>
          <w:sz w:val="24"/>
          <w:szCs w:val="24"/>
        </w:rPr>
        <w:t>cadres</w:t>
      </w:r>
      <w:r w:rsidRPr="005933F2">
        <w:rPr>
          <w:rFonts w:asciiTheme="majorHAnsi" w:hAnsiTheme="majorHAnsi"/>
          <w:sz w:val="24"/>
          <w:szCs w:val="24"/>
        </w:rPr>
        <w:t xml:space="preserve"> qui agi</w:t>
      </w:r>
      <w:r>
        <w:rPr>
          <w:rFonts w:asciiTheme="majorHAnsi" w:hAnsiTheme="majorHAnsi"/>
          <w:sz w:val="24"/>
          <w:szCs w:val="24"/>
        </w:rPr>
        <w:t>ssent</w:t>
      </w:r>
      <w:r w:rsidRPr="005933F2">
        <w:rPr>
          <w:rFonts w:asciiTheme="majorHAnsi" w:hAnsiTheme="majorHAnsi"/>
          <w:sz w:val="24"/>
          <w:szCs w:val="24"/>
        </w:rPr>
        <w:t xml:space="preserve"> pour le compte de l’entreprise étrangère ne constitue pas à lui seul une condition suffisante pour la qualification d’un établissement stable. Les deux modèles de convention ajoute</w:t>
      </w:r>
      <w:r>
        <w:rPr>
          <w:rFonts w:asciiTheme="majorHAnsi" w:hAnsiTheme="majorHAnsi"/>
          <w:sz w:val="24"/>
          <w:szCs w:val="24"/>
        </w:rPr>
        <w:t>nt</w:t>
      </w:r>
      <w:r w:rsidRPr="005933F2">
        <w:rPr>
          <w:rFonts w:asciiTheme="majorHAnsi" w:hAnsiTheme="majorHAnsi"/>
          <w:sz w:val="24"/>
          <w:szCs w:val="24"/>
        </w:rPr>
        <w:t xml:space="preserve"> une seconde condition principale, </w:t>
      </w:r>
      <w:r>
        <w:rPr>
          <w:rFonts w:asciiTheme="majorHAnsi" w:hAnsiTheme="majorHAnsi"/>
          <w:sz w:val="24"/>
          <w:szCs w:val="24"/>
        </w:rPr>
        <w:t>à</w:t>
      </w:r>
      <w:r w:rsidRPr="005933F2">
        <w:rPr>
          <w:rFonts w:asciiTheme="majorHAnsi" w:hAnsiTheme="majorHAnsi"/>
          <w:sz w:val="24"/>
          <w:szCs w:val="24"/>
        </w:rPr>
        <w:t xml:space="preserve"> savoir, le fait que ce</w:t>
      </w:r>
      <w:r>
        <w:rPr>
          <w:rFonts w:asciiTheme="majorHAnsi" w:hAnsiTheme="majorHAnsi"/>
          <w:sz w:val="24"/>
          <w:szCs w:val="24"/>
        </w:rPr>
        <w:t>s cadres</w:t>
      </w:r>
      <w:r w:rsidRPr="005933F2">
        <w:rPr>
          <w:rFonts w:asciiTheme="majorHAnsi" w:hAnsiTheme="majorHAnsi"/>
          <w:sz w:val="24"/>
          <w:szCs w:val="24"/>
        </w:rPr>
        <w:t xml:space="preserve"> dispose</w:t>
      </w:r>
      <w:r>
        <w:rPr>
          <w:rFonts w:asciiTheme="majorHAnsi" w:hAnsiTheme="majorHAnsi"/>
          <w:sz w:val="24"/>
          <w:szCs w:val="24"/>
        </w:rPr>
        <w:t>nt</w:t>
      </w:r>
      <w:r w:rsidRPr="005933F2">
        <w:rPr>
          <w:rFonts w:asciiTheme="majorHAnsi" w:hAnsiTheme="majorHAnsi"/>
          <w:sz w:val="24"/>
          <w:szCs w:val="24"/>
        </w:rPr>
        <w:t xml:space="preserve"> de</w:t>
      </w:r>
      <w:r>
        <w:rPr>
          <w:rFonts w:asciiTheme="majorHAnsi" w:hAnsiTheme="majorHAnsi"/>
          <w:sz w:val="24"/>
          <w:szCs w:val="24"/>
        </w:rPr>
        <w:t>s</w:t>
      </w:r>
      <w:r w:rsidRPr="005933F2">
        <w:rPr>
          <w:rFonts w:asciiTheme="majorHAnsi" w:hAnsiTheme="majorHAnsi"/>
          <w:sz w:val="24"/>
          <w:szCs w:val="24"/>
        </w:rPr>
        <w:t xml:space="preserve"> </w:t>
      </w:r>
      <w:r w:rsidRPr="00B5213C">
        <w:rPr>
          <w:rFonts w:asciiTheme="majorHAnsi" w:hAnsiTheme="majorHAnsi"/>
          <w:b/>
          <w:bCs/>
          <w:i/>
          <w:iCs/>
          <w:sz w:val="24"/>
          <w:szCs w:val="24"/>
        </w:rPr>
        <w:t>pouvoirs</w:t>
      </w:r>
      <w:r w:rsidRPr="005933F2">
        <w:rPr>
          <w:rFonts w:asciiTheme="majorHAnsi" w:hAnsiTheme="majorHAnsi"/>
          <w:sz w:val="24"/>
          <w:szCs w:val="24"/>
        </w:rPr>
        <w:t xml:space="preserve"> lui permettant de </w:t>
      </w:r>
      <w:r w:rsidRPr="005933F2">
        <w:rPr>
          <w:rFonts w:asciiTheme="majorHAnsi" w:hAnsiTheme="majorHAnsi"/>
          <w:b/>
          <w:bCs/>
          <w:i/>
          <w:iCs/>
          <w:sz w:val="24"/>
          <w:szCs w:val="24"/>
        </w:rPr>
        <w:t>conclure des contrats</w:t>
      </w:r>
      <w:r w:rsidRPr="005933F2">
        <w:rPr>
          <w:rFonts w:asciiTheme="majorHAnsi" w:hAnsiTheme="majorHAnsi"/>
          <w:sz w:val="24"/>
          <w:szCs w:val="24"/>
        </w:rPr>
        <w:t xml:space="preserve"> au nom de l’entreprise et qu’elle exerce </w:t>
      </w:r>
      <w:r w:rsidRPr="005933F2">
        <w:rPr>
          <w:rFonts w:asciiTheme="majorHAnsi" w:hAnsiTheme="majorHAnsi"/>
          <w:b/>
          <w:bCs/>
          <w:i/>
          <w:iCs/>
          <w:sz w:val="24"/>
          <w:szCs w:val="24"/>
        </w:rPr>
        <w:t>habituellement ces pouvoirs</w:t>
      </w:r>
      <w:r w:rsidRPr="005933F2">
        <w:rPr>
          <w:rFonts w:asciiTheme="majorHAnsi" w:hAnsiTheme="majorHAnsi"/>
          <w:sz w:val="24"/>
          <w:szCs w:val="24"/>
        </w:rPr>
        <w:t>.</w:t>
      </w:r>
    </w:p>
    <w:p w:rsidR="003E08DD" w:rsidRPr="00621EAB" w:rsidRDefault="003E08DD" w:rsidP="003E08DD">
      <w:pPr>
        <w:tabs>
          <w:tab w:val="left" w:pos="709"/>
        </w:tabs>
        <w:spacing w:before="120" w:after="120" w:line="360" w:lineRule="auto"/>
        <w:ind w:left="360"/>
        <w:jc w:val="both"/>
        <w:rPr>
          <w:rFonts w:asciiTheme="majorHAnsi" w:hAnsiTheme="majorHAnsi"/>
          <w:b/>
          <w:bCs/>
          <w:i/>
          <w:iCs/>
          <w:sz w:val="24"/>
          <w:szCs w:val="24"/>
        </w:rPr>
      </w:pPr>
      <w:r w:rsidRPr="00621EAB">
        <w:rPr>
          <w:rFonts w:asciiTheme="majorHAnsi" w:hAnsiTheme="majorHAnsi"/>
          <w:b/>
          <w:bCs/>
          <w:i/>
          <w:iCs/>
          <w:sz w:val="24"/>
          <w:szCs w:val="24"/>
        </w:rPr>
        <w:t>En matière de TVA</w:t>
      </w:r>
    </w:p>
    <w:p w:rsidR="003E08DD" w:rsidRDefault="003E08DD" w:rsidP="003E08DD">
      <w:pPr>
        <w:tabs>
          <w:tab w:val="left" w:pos="709"/>
        </w:tabs>
        <w:spacing w:before="120" w:after="120" w:line="360" w:lineRule="auto"/>
        <w:jc w:val="both"/>
        <w:rPr>
          <w:rFonts w:asciiTheme="majorHAnsi" w:hAnsiTheme="majorHAnsi"/>
          <w:sz w:val="24"/>
          <w:szCs w:val="24"/>
        </w:rPr>
      </w:pPr>
      <w:r w:rsidRPr="00AA276B">
        <w:rPr>
          <w:rFonts w:asciiTheme="majorHAnsi" w:hAnsiTheme="majorHAnsi"/>
          <w:sz w:val="24"/>
          <w:szCs w:val="24"/>
        </w:rPr>
        <w:t>Les rémunérations sont la contrepartie d’un service consommé en Tunisie,</w:t>
      </w:r>
      <w:r>
        <w:rPr>
          <w:rFonts w:asciiTheme="majorHAnsi" w:hAnsiTheme="majorHAnsi"/>
          <w:sz w:val="24"/>
          <w:szCs w:val="24"/>
        </w:rPr>
        <w:t xml:space="preserve"> </w:t>
      </w:r>
      <w:r w:rsidRPr="00AA276B">
        <w:rPr>
          <w:rFonts w:asciiTheme="majorHAnsi" w:hAnsiTheme="majorHAnsi"/>
          <w:sz w:val="24"/>
          <w:szCs w:val="24"/>
        </w:rPr>
        <w:t>elles rentrent donc dans le champ d’application territoriale de la TVA qui est</w:t>
      </w:r>
      <w:r>
        <w:rPr>
          <w:rFonts w:asciiTheme="majorHAnsi" w:hAnsiTheme="majorHAnsi"/>
          <w:sz w:val="24"/>
          <w:szCs w:val="24"/>
        </w:rPr>
        <w:t xml:space="preserve"> </w:t>
      </w:r>
      <w:r w:rsidRPr="00AA276B">
        <w:rPr>
          <w:rFonts w:asciiTheme="majorHAnsi" w:hAnsiTheme="majorHAnsi"/>
          <w:sz w:val="24"/>
          <w:szCs w:val="24"/>
        </w:rPr>
        <w:t>due au taux de 1</w:t>
      </w:r>
      <w:r>
        <w:rPr>
          <w:rFonts w:asciiTheme="majorHAnsi" w:hAnsiTheme="majorHAnsi"/>
          <w:sz w:val="24"/>
          <w:szCs w:val="24"/>
        </w:rPr>
        <w:t xml:space="preserve">8 </w:t>
      </w:r>
      <w:r w:rsidRPr="00AA276B">
        <w:rPr>
          <w:rFonts w:asciiTheme="majorHAnsi" w:hAnsiTheme="majorHAnsi"/>
          <w:sz w:val="24"/>
          <w:szCs w:val="24"/>
        </w:rPr>
        <w:t>%.</w:t>
      </w:r>
    </w:p>
    <w:p w:rsidR="003E08DD" w:rsidRDefault="003E08DD" w:rsidP="003E08DD">
      <w:pPr>
        <w:spacing w:before="120" w:after="120" w:line="360" w:lineRule="auto"/>
        <w:jc w:val="both"/>
        <w:rPr>
          <w:rFonts w:asciiTheme="majorHAnsi" w:hAnsiTheme="majorHAnsi"/>
          <w:sz w:val="24"/>
          <w:szCs w:val="24"/>
        </w:rPr>
      </w:pPr>
      <w:r w:rsidRPr="004139EE">
        <w:rPr>
          <w:rFonts w:asciiTheme="majorHAnsi" w:hAnsiTheme="majorHAnsi"/>
          <w:sz w:val="24"/>
          <w:szCs w:val="24"/>
        </w:rPr>
        <w:t xml:space="preserve">Etant non établie en Tunisie, la société </w:t>
      </w:r>
      <w:r w:rsidRPr="00295461">
        <w:rPr>
          <w:rFonts w:asciiTheme="majorHAnsi" w:hAnsiTheme="majorHAnsi"/>
          <w:b/>
          <w:bCs/>
          <w:i/>
          <w:iCs/>
          <w:sz w:val="24"/>
          <w:szCs w:val="24"/>
        </w:rPr>
        <w:t>« Cinq Etoile »</w:t>
      </w:r>
      <w:r w:rsidRPr="00295461">
        <w:rPr>
          <w:rFonts w:asciiTheme="majorHAnsi" w:hAnsiTheme="majorHAnsi"/>
          <w:sz w:val="24"/>
          <w:szCs w:val="24"/>
        </w:rPr>
        <w:t xml:space="preserve"> </w:t>
      </w:r>
      <w:r w:rsidRPr="004139EE">
        <w:rPr>
          <w:rFonts w:asciiTheme="majorHAnsi" w:hAnsiTheme="majorHAnsi"/>
          <w:sz w:val="24"/>
          <w:szCs w:val="24"/>
        </w:rPr>
        <w:t xml:space="preserve">sera soumise </w:t>
      </w:r>
      <w:r>
        <w:rPr>
          <w:rFonts w:asciiTheme="majorHAnsi" w:hAnsiTheme="majorHAnsi"/>
          <w:sz w:val="24"/>
          <w:szCs w:val="24"/>
        </w:rPr>
        <w:t>à</w:t>
      </w:r>
      <w:r w:rsidRPr="004139EE">
        <w:rPr>
          <w:rFonts w:asciiTheme="majorHAnsi" w:hAnsiTheme="majorHAnsi"/>
          <w:sz w:val="24"/>
          <w:szCs w:val="24"/>
        </w:rPr>
        <w:t xml:space="preserve"> la retenue </w:t>
      </w:r>
      <w:r>
        <w:rPr>
          <w:rFonts w:asciiTheme="majorHAnsi" w:hAnsiTheme="majorHAnsi"/>
          <w:sz w:val="24"/>
          <w:szCs w:val="24"/>
        </w:rPr>
        <w:t>à</w:t>
      </w:r>
      <w:r w:rsidRPr="004139EE">
        <w:rPr>
          <w:rFonts w:asciiTheme="majorHAnsi" w:hAnsiTheme="majorHAnsi"/>
          <w:sz w:val="24"/>
          <w:szCs w:val="24"/>
        </w:rPr>
        <w:t xml:space="preserve"> la source au titre de la TVA au taux de 100%, et ceux conformément aux dispositions de l’article 19 du code TVA qui stipule</w:t>
      </w:r>
      <w:r>
        <w:rPr>
          <w:rFonts w:asciiTheme="majorHAnsi" w:hAnsiTheme="majorHAnsi"/>
          <w:sz w:val="24"/>
          <w:szCs w:val="24"/>
        </w:rPr>
        <w:t> :</w:t>
      </w:r>
      <w:r w:rsidRPr="004139EE">
        <w:rPr>
          <w:rFonts w:asciiTheme="majorHAnsi" w:hAnsiTheme="majorHAnsi"/>
          <w:sz w:val="24"/>
          <w:szCs w:val="24"/>
        </w:rPr>
        <w:t xml:space="preserve"> « </w:t>
      </w:r>
      <w:r w:rsidRPr="00436061">
        <w:rPr>
          <w:rFonts w:asciiTheme="majorHAnsi" w:hAnsiTheme="majorHAnsi"/>
          <w:sz w:val="24"/>
          <w:szCs w:val="24"/>
        </w:rPr>
        <w:t xml:space="preserve">en cas de réalisation par les personnes morales et les personne physiques n’ayant pas d’établissement en Tunisie d’opérations soumises </w:t>
      </w:r>
      <w:r>
        <w:rPr>
          <w:rFonts w:asciiTheme="majorHAnsi" w:hAnsiTheme="majorHAnsi"/>
          <w:sz w:val="24"/>
          <w:szCs w:val="24"/>
        </w:rPr>
        <w:t>à</w:t>
      </w:r>
      <w:r w:rsidRPr="00436061">
        <w:rPr>
          <w:rFonts w:asciiTheme="majorHAnsi" w:hAnsiTheme="majorHAnsi"/>
          <w:sz w:val="24"/>
          <w:szCs w:val="24"/>
        </w:rPr>
        <w:t xml:space="preserve"> la taxe sur la valeur ajouté, </w:t>
      </w:r>
      <w:r w:rsidRPr="00436061">
        <w:rPr>
          <w:rFonts w:asciiTheme="majorHAnsi" w:hAnsiTheme="majorHAnsi"/>
          <w:b/>
          <w:bCs/>
          <w:i/>
          <w:iCs/>
          <w:sz w:val="24"/>
          <w:szCs w:val="24"/>
        </w:rPr>
        <w:t>leurs clients</w:t>
      </w:r>
      <w:r w:rsidRPr="00436061">
        <w:rPr>
          <w:rFonts w:asciiTheme="majorHAnsi" w:hAnsiTheme="majorHAnsi"/>
          <w:sz w:val="24"/>
          <w:szCs w:val="24"/>
        </w:rPr>
        <w:t xml:space="preserve"> sont tenus de </w:t>
      </w:r>
      <w:r w:rsidRPr="00427628">
        <w:rPr>
          <w:rFonts w:asciiTheme="majorHAnsi" w:hAnsiTheme="majorHAnsi"/>
          <w:b/>
          <w:bCs/>
          <w:i/>
          <w:iCs/>
          <w:sz w:val="24"/>
          <w:szCs w:val="24"/>
        </w:rPr>
        <w:t>retenir</w:t>
      </w:r>
      <w:r w:rsidRPr="00436061">
        <w:rPr>
          <w:rFonts w:asciiTheme="majorHAnsi" w:hAnsiTheme="majorHAnsi"/>
          <w:sz w:val="24"/>
          <w:szCs w:val="24"/>
        </w:rPr>
        <w:t xml:space="preserve"> la taxe sur la valeur ajouté</w:t>
      </w:r>
      <w:r>
        <w:rPr>
          <w:rFonts w:asciiTheme="majorHAnsi" w:hAnsiTheme="majorHAnsi"/>
          <w:sz w:val="24"/>
          <w:szCs w:val="24"/>
        </w:rPr>
        <w:t>e</w:t>
      </w:r>
      <w:r w:rsidRPr="00436061">
        <w:rPr>
          <w:rFonts w:asciiTheme="majorHAnsi" w:hAnsiTheme="majorHAnsi"/>
          <w:sz w:val="24"/>
          <w:szCs w:val="24"/>
        </w:rPr>
        <w:t xml:space="preserve"> d</w:t>
      </w:r>
      <w:r>
        <w:rPr>
          <w:rFonts w:asciiTheme="majorHAnsi" w:hAnsiTheme="majorHAnsi"/>
          <w:sz w:val="24"/>
          <w:szCs w:val="24"/>
        </w:rPr>
        <w:t>û</w:t>
      </w:r>
      <w:r w:rsidRPr="00436061">
        <w:rPr>
          <w:rFonts w:asciiTheme="majorHAnsi" w:hAnsiTheme="majorHAnsi"/>
          <w:sz w:val="24"/>
          <w:szCs w:val="24"/>
        </w:rPr>
        <w:t xml:space="preserve"> au titre de ces opérations. Cette retenue est libératoire de ladite taxe</w:t>
      </w:r>
      <w:r w:rsidRPr="004139EE">
        <w:rPr>
          <w:rFonts w:asciiTheme="majorHAnsi" w:hAnsiTheme="majorHAnsi"/>
          <w:sz w:val="24"/>
          <w:szCs w:val="24"/>
        </w:rPr>
        <w:t> ». </w:t>
      </w:r>
    </w:p>
    <w:p w:rsidR="00621EAB" w:rsidRDefault="003E08DD" w:rsidP="00D90CD3">
      <w:pPr>
        <w:tabs>
          <w:tab w:val="left" w:pos="709"/>
        </w:tabs>
        <w:spacing w:before="120" w:after="120" w:line="360" w:lineRule="auto"/>
        <w:jc w:val="both"/>
        <w:rPr>
          <w:rFonts w:asciiTheme="majorHAnsi" w:hAnsiTheme="majorHAnsi"/>
          <w:sz w:val="24"/>
          <w:szCs w:val="24"/>
          <w:lang w:bidi="ar-TN"/>
        </w:rPr>
      </w:pPr>
      <w:r w:rsidRPr="004139EE">
        <w:rPr>
          <w:rFonts w:asciiTheme="majorHAnsi" w:hAnsiTheme="majorHAnsi"/>
          <w:sz w:val="24"/>
          <w:szCs w:val="24"/>
        </w:rPr>
        <w:t xml:space="preserve"> La TVA retenu à la source est déterminée comme suit </w:t>
      </w:r>
      <w:r>
        <w:rPr>
          <w:rFonts w:asciiTheme="majorHAnsi" w:hAnsiTheme="majorHAnsi"/>
          <w:sz w:val="24"/>
          <w:szCs w:val="24"/>
        </w:rPr>
        <w:t xml:space="preserve">= </w:t>
      </w:r>
      <w:r w:rsidR="006E0FF6">
        <w:rPr>
          <w:rFonts w:asciiTheme="majorHAnsi" w:hAnsiTheme="majorHAnsi"/>
          <w:sz w:val="24"/>
          <w:szCs w:val="24"/>
        </w:rPr>
        <w:t>4</w:t>
      </w:r>
      <w:r>
        <w:rPr>
          <w:rFonts w:asciiTheme="majorHAnsi" w:hAnsiTheme="majorHAnsi"/>
          <w:sz w:val="24"/>
          <w:szCs w:val="24"/>
        </w:rPr>
        <w:t>00.000,000</w:t>
      </w:r>
      <w:proofErr w:type="spellStart"/>
      <w:r w:rsidRPr="00F17DC9">
        <w:rPr>
          <w:rFonts w:asciiTheme="majorHAnsi" w:hAnsiTheme="majorHAnsi" w:hint="cs"/>
          <w:sz w:val="24"/>
          <w:szCs w:val="24"/>
          <w:rtl/>
          <w:lang w:val="en-US" w:bidi="ar-TN"/>
        </w:rPr>
        <w:t>×</w:t>
      </w:r>
      <w:proofErr w:type="spellEnd"/>
      <w:r w:rsidRPr="00F17DC9">
        <w:rPr>
          <w:rFonts w:asciiTheme="majorHAnsi" w:hAnsiTheme="majorHAnsi"/>
          <w:sz w:val="24"/>
          <w:szCs w:val="24"/>
        </w:rPr>
        <w:t>0,1</w:t>
      </w:r>
      <w:r w:rsidR="006E0FF6">
        <w:rPr>
          <w:rFonts w:asciiTheme="majorHAnsi" w:hAnsiTheme="majorHAnsi"/>
          <w:sz w:val="24"/>
          <w:szCs w:val="24"/>
        </w:rPr>
        <w:t>8</w:t>
      </w:r>
      <w:r w:rsidRPr="00F17DC9">
        <w:rPr>
          <w:rFonts w:asciiTheme="majorHAnsi" w:hAnsiTheme="majorHAnsi"/>
          <w:sz w:val="24"/>
          <w:szCs w:val="24"/>
        </w:rPr>
        <w:t xml:space="preserve"> </w:t>
      </w:r>
      <w:r w:rsidRPr="00F17DC9">
        <w:rPr>
          <w:rFonts w:asciiTheme="majorHAnsi" w:hAnsiTheme="majorHAnsi"/>
          <w:sz w:val="24"/>
          <w:szCs w:val="24"/>
          <w:lang w:bidi="ar-TN"/>
        </w:rPr>
        <w:t xml:space="preserve">= </w:t>
      </w:r>
      <w:r w:rsidR="006E0FF6">
        <w:rPr>
          <w:rFonts w:asciiTheme="majorHAnsi" w:hAnsiTheme="majorHAnsi"/>
          <w:sz w:val="24"/>
          <w:szCs w:val="24"/>
          <w:lang w:bidi="ar-TN"/>
        </w:rPr>
        <w:t>72</w:t>
      </w:r>
      <w:r w:rsidRPr="00F17DC9">
        <w:rPr>
          <w:rFonts w:asciiTheme="majorHAnsi" w:hAnsiTheme="majorHAnsi"/>
          <w:sz w:val="24"/>
          <w:szCs w:val="24"/>
          <w:lang w:bidi="ar-TN"/>
        </w:rPr>
        <w:t>.000,000 TND.</w:t>
      </w:r>
    </w:p>
    <w:p w:rsidR="006E0FF6" w:rsidRDefault="006E0FF6" w:rsidP="006E0FF6">
      <w:pPr>
        <w:spacing w:before="120" w:after="120" w:line="360" w:lineRule="auto"/>
        <w:jc w:val="both"/>
        <w:rPr>
          <w:rFonts w:asciiTheme="majorHAnsi" w:hAnsiTheme="majorHAnsi"/>
          <w:sz w:val="24"/>
          <w:szCs w:val="24"/>
        </w:rPr>
      </w:pPr>
      <w:r w:rsidRPr="00AA276B">
        <w:rPr>
          <w:rFonts w:asciiTheme="majorHAnsi" w:hAnsiTheme="majorHAnsi"/>
          <w:sz w:val="24"/>
          <w:szCs w:val="24"/>
        </w:rPr>
        <w:t xml:space="preserve">Cependant, la société </w:t>
      </w:r>
      <w:r w:rsidRPr="00D75910">
        <w:rPr>
          <w:rFonts w:asciiTheme="majorHAnsi" w:hAnsiTheme="majorHAnsi"/>
          <w:b/>
          <w:bCs/>
          <w:i/>
          <w:iCs/>
          <w:sz w:val="24"/>
          <w:szCs w:val="24"/>
        </w:rPr>
        <w:t>« Cinq Etoile »</w:t>
      </w:r>
      <w:r w:rsidRPr="00295461">
        <w:rPr>
          <w:rFonts w:asciiTheme="majorHAnsi" w:hAnsiTheme="majorHAnsi"/>
          <w:sz w:val="24"/>
          <w:szCs w:val="24"/>
        </w:rPr>
        <w:t xml:space="preserve"> </w:t>
      </w:r>
      <w:r w:rsidRPr="00AA276B">
        <w:rPr>
          <w:rFonts w:asciiTheme="majorHAnsi" w:hAnsiTheme="majorHAnsi"/>
          <w:sz w:val="24"/>
          <w:szCs w:val="24"/>
        </w:rPr>
        <w:t xml:space="preserve">peut toujours </w:t>
      </w:r>
      <w:r w:rsidRPr="006E0FF6">
        <w:rPr>
          <w:rFonts w:asciiTheme="majorHAnsi" w:hAnsiTheme="majorHAnsi"/>
          <w:sz w:val="24"/>
          <w:szCs w:val="24"/>
        </w:rPr>
        <w:t xml:space="preserve">opter </w:t>
      </w:r>
      <w:r w:rsidRPr="00AA276B">
        <w:rPr>
          <w:rFonts w:asciiTheme="majorHAnsi" w:hAnsiTheme="majorHAnsi"/>
          <w:sz w:val="24"/>
          <w:szCs w:val="24"/>
        </w:rPr>
        <w:t>pour son</w:t>
      </w:r>
      <w:r>
        <w:rPr>
          <w:rFonts w:asciiTheme="majorHAnsi" w:hAnsiTheme="majorHAnsi"/>
          <w:sz w:val="24"/>
          <w:szCs w:val="24"/>
        </w:rPr>
        <w:t xml:space="preserve"> </w:t>
      </w:r>
      <w:r w:rsidRPr="00AA276B">
        <w:rPr>
          <w:rFonts w:asciiTheme="majorHAnsi" w:hAnsiTheme="majorHAnsi"/>
          <w:sz w:val="24"/>
          <w:szCs w:val="24"/>
        </w:rPr>
        <w:t>assujettissement à la TVA selon le régime de droit commun. Dans ce cas</w:t>
      </w:r>
      <w:r>
        <w:rPr>
          <w:rFonts w:asciiTheme="majorHAnsi" w:hAnsiTheme="majorHAnsi"/>
          <w:sz w:val="24"/>
          <w:szCs w:val="24"/>
        </w:rPr>
        <w:t>,</w:t>
      </w:r>
      <w:r w:rsidRPr="00AA276B">
        <w:rPr>
          <w:rFonts w:asciiTheme="majorHAnsi" w:hAnsiTheme="majorHAnsi"/>
          <w:sz w:val="24"/>
          <w:szCs w:val="24"/>
        </w:rPr>
        <w:t xml:space="preserve"> elle</w:t>
      </w:r>
      <w:r>
        <w:rPr>
          <w:rFonts w:asciiTheme="majorHAnsi" w:hAnsiTheme="majorHAnsi"/>
          <w:sz w:val="24"/>
          <w:szCs w:val="24"/>
        </w:rPr>
        <w:t xml:space="preserve"> </w:t>
      </w:r>
      <w:r w:rsidRPr="00AA276B">
        <w:rPr>
          <w:rFonts w:asciiTheme="majorHAnsi" w:hAnsiTheme="majorHAnsi"/>
          <w:sz w:val="24"/>
          <w:szCs w:val="24"/>
        </w:rPr>
        <w:t>bénéficie de la déduction de la TVA ayant grevé les marchandises et les services</w:t>
      </w:r>
      <w:r>
        <w:rPr>
          <w:rFonts w:asciiTheme="majorHAnsi" w:hAnsiTheme="majorHAnsi"/>
          <w:sz w:val="24"/>
          <w:szCs w:val="24"/>
        </w:rPr>
        <w:t xml:space="preserve"> </w:t>
      </w:r>
      <w:r w:rsidRPr="00AA276B">
        <w:rPr>
          <w:rFonts w:asciiTheme="majorHAnsi" w:hAnsiTheme="majorHAnsi"/>
          <w:sz w:val="24"/>
          <w:szCs w:val="24"/>
        </w:rPr>
        <w:t>nécessaires à la réalisation des opérations soumises à ladite taxe. En cas</w:t>
      </w:r>
      <w:r>
        <w:rPr>
          <w:rFonts w:asciiTheme="majorHAnsi" w:hAnsiTheme="majorHAnsi"/>
          <w:sz w:val="24"/>
          <w:szCs w:val="24"/>
        </w:rPr>
        <w:t xml:space="preserve"> </w:t>
      </w:r>
      <w:r w:rsidRPr="00AA276B">
        <w:rPr>
          <w:rFonts w:asciiTheme="majorHAnsi" w:hAnsiTheme="majorHAnsi"/>
          <w:sz w:val="24"/>
          <w:szCs w:val="24"/>
        </w:rPr>
        <w:t>d’apparition d’un crédit de taxe, ce dernier est remboursable conformément à la</w:t>
      </w:r>
      <w:r>
        <w:rPr>
          <w:rFonts w:asciiTheme="majorHAnsi" w:hAnsiTheme="majorHAnsi"/>
          <w:sz w:val="24"/>
          <w:szCs w:val="24"/>
        </w:rPr>
        <w:t xml:space="preserve"> </w:t>
      </w:r>
      <w:r w:rsidRPr="00AA276B">
        <w:rPr>
          <w:rFonts w:asciiTheme="majorHAnsi" w:hAnsiTheme="majorHAnsi"/>
          <w:sz w:val="24"/>
          <w:szCs w:val="24"/>
        </w:rPr>
        <w:t>législation en vigueur</w:t>
      </w:r>
      <w:r>
        <w:rPr>
          <w:rFonts w:asciiTheme="majorHAnsi" w:hAnsiTheme="majorHAnsi"/>
          <w:sz w:val="24"/>
          <w:szCs w:val="24"/>
        </w:rPr>
        <w:t>.</w:t>
      </w:r>
    </w:p>
    <w:p w:rsidR="005E3855" w:rsidRDefault="005E3855" w:rsidP="006E0FF6">
      <w:pPr>
        <w:spacing w:before="120" w:after="120" w:line="360" w:lineRule="auto"/>
        <w:jc w:val="both"/>
        <w:rPr>
          <w:rFonts w:asciiTheme="majorHAnsi" w:hAnsiTheme="majorHAnsi"/>
          <w:sz w:val="24"/>
          <w:szCs w:val="24"/>
        </w:rPr>
      </w:pPr>
    </w:p>
    <w:p w:rsidR="005E3855" w:rsidRDefault="005E3855" w:rsidP="006E0FF6">
      <w:pPr>
        <w:spacing w:before="120" w:after="120" w:line="360" w:lineRule="auto"/>
        <w:jc w:val="both"/>
        <w:rPr>
          <w:rFonts w:asciiTheme="majorHAnsi" w:hAnsiTheme="majorHAnsi"/>
          <w:sz w:val="24"/>
          <w:szCs w:val="24"/>
        </w:rPr>
      </w:pPr>
    </w:p>
    <w:p w:rsidR="005E3855" w:rsidRDefault="005E3855" w:rsidP="006E0FF6">
      <w:pPr>
        <w:spacing w:before="120" w:after="120" w:line="360" w:lineRule="auto"/>
        <w:jc w:val="both"/>
        <w:rPr>
          <w:rFonts w:asciiTheme="majorHAnsi" w:hAnsiTheme="majorHAnsi"/>
          <w:sz w:val="24"/>
          <w:szCs w:val="24"/>
        </w:rPr>
      </w:pPr>
    </w:p>
    <w:p w:rsidR="006E0FF6" w:rsidRPr="00AE33F4" w:rsidRDefault="006E0FF6" w:rsidP="006E0FF6">
      <w:pPr>
        <w:pStyle w:val="Paragraphedeliste"/>
        <w:numPr>
          <w:ilvl w:val="0"/>
          <w:numId w:val="35"/>
        </w:numPr>
        <w:tabs>
          <w:tab w:val="left" w:pos="709"/>
        </w:tabs>
        <w:spacing w:before="120" w:after="120" w:line="360" w:lineRule="auto"/>
        <w:ind w:left="360"/>
        <w:jc w:val="both"/>
        <w:rPr>
          <w:rFonts w:asciiTheme="majorHAnsi" w:hAnsiTheme="majorHAnsi"/>
          <w:b/>
          <w:bCs/>
          <w:sz w:val="24"/>
          <w:szCs w:val="24"/>
        </w:rPr>
      </w:pPr>
      <w:r w:rsidRPr="006E0FF6">
        <w:rPr>
          <w:rFonts w:asciiTheme="majorHAnsi" w:hAnsiTheme="majorHAnsi"/>
          <w:b/>
          <w:bCs/>
          <w:sz w:val="24"/>
          <w:szCs w:val="24"/>
        </w:rPr>
        <w:lastRenderedPageBreak/>
        <w:t xml:space="preserve">Régime fiscal des cadres Espagnole </w:t>
      </w:r>
      <w:r w:rsidRPr="00AE33F4">
        <w:rPr>
          <w:rFonts w:asciiTheme="majorHAnsi" w:hAnsiTheme="majorHAnsi"/>
          <w:b/>
          <w:bCs/>
          <w:sz w:val="24"/>
          <w:szCs w:val="24"/>
        </w:rPr>
        <w:t xml:space="preserve">détachés auprès de la société « KLM plus »   </w:t>
      </w:r>
    </w:p>
    <w:p w:rsidR="006E0FF6" w:rsidRDefault="006E0FF6" w:rsidP="001F6878">
      <w:pPr>
        <w:spacing w:before="120" w:after="120" w:line="360" w:lineRule="auto"/>
        <w:jc w:val="both"/>
        <w:rPr>
          <w:rFonts w:asciiTheme="majorHAnsi" w:hAnsiTheme="majorHAnsi"/>
          <w:sz w:val="24"/>
          <w:szCs w:val="24"/>
        </w:rPr>
      </w:pPr>
      <w:r w:rsidRPr="006E0FF6">
        <w:rPr>
          <w:rFonts w:asciiTheme="majorHAnsi" w:hAnsiTheme="majorHAnsi"/>
          <w:sz w:val="24"/>
          <w:szCs w:val="24"/>
        </w:rPr>
        <w:t xml:space="preserve">En vertu de l’article 15 de la convention </w:t>
      </w:r>
      <w:proofErr w:type="spellStart"/>
      <w:r w:rsidRPr="006E0FF6">
        <w:rPr>
          <w:rFonts w:asciiTheme="majorHAnsi" w:hAnsiTheme="majorHAnsi"/>
          <w:sz w:val="24"/>
          <w:szCs w:val="24"/>
        </w:rPr>
        <w:t>Tuniso</w:t>
      </w:r>
      <w:proofErr w:type="spellEnd"/>
      <w:r w:rsidRPr="006E0FF6">
        <w:rPr>
          <w:rFonts w:asciiTheme="majorHAnsi" w:hAnsiTheme="majorHAnsi"/>
          <w:sz w:val="24"/>
          <w:szCs w:val="24"/>
        </w:rPr>
        <w:t>-</w:t>
      </w:r>
      <w:r>
        <w:rPr>
          <w:rFonts w:asciiTheme="majorHAnsi" w:hAnsiTheme="majorHAnsi"/>
          <w:sz w:val="24"/>
          <w:szCs w:val="24"/>
        </w:rPr>
        <w:t xml:space="preserve"> Espagnole</w:t>
      </w:r>
      <w:r w:rsidRPr="006E0FF6">
        <w:rPr>
          <w:rFonts w:asciiTheme="majorHAnsi" w:hAnsiTheme="majorHAnsi"/>
          <w:sz w:val="24"/>
          <w:szCs w:val="24"/>
        </w:rPr>
        <w:t xml:space="preserve"> de non double</w:t>
      </w:r>
      <w:r>
        <w:rPr>
          <w:rFonts w:asciiTheme="majorHAnsi" w:hAnsiTheme="majorHAnsi"/>
          <w:sz w:val="24"/>
          <w:szCs w:val="24"/>
        </w:rPr>
        <w:t xml:space="preserve"> </w:t>
      </w:r>
      <w:r w:rsidRPr="006E0FF6">
        <w:rPr>
          <w:rFonts w:asciiTheme="majorHAnsi" w:hAnsiTheme="majorHAnsi"/>
          <w:sz w:val="24"/>
          <w:szCs w:val="24"/>
        </w:rPr>
        <w:t xml:space="preserve">imposition, les cadres résidents en </w:t>
      </w:r>
      <w:r w:rsidR="00CE25C2">
        <w:rPr>
          <w:rFonts w:asciiTheme="majorHAnsi" w:hAnsiTheme="majorHAnsi"/>
          <w:sz w:val="24"/>
          <w:szCs w:val="24"/>
        </w:rPr>
        <w:t>Espagne</w:t>
      </w:r>
      <w:r w:rsidRPr="006E0FF6">
        <w:rPr>
          <w:rFonts w:asciiTheme="majorHAnsi" w:hAnsiTheme="majorHAnsi"/>
          <w:sz w:val="24"/>
          <w:szCs w:val="24"/>
        </w:rPr>
        <w:t xml:space="preserve"> sont soumis au titre de leur activité</w:t>
      </w:r>
      <w:r>
        <w:rPr>
          <w:rFonts w:asciiTheme="majorHAnsi" w:hAnsiTheme="majorHAnsi"/>
          <w:sz w:val="24"/>
          <w:szCs w:val="24"/>
        </w:rPr>
        <w:t xml:space="preserve"> </w:t>
      </w:r>
      <w:r w:rsidRPr="006E0FF6">
        <w:rPr>
          <w:rFonts w:asciiTheme="majorHAnsi" w:hAnsiTheme="majorHAnsi"/>
          <w:sz w:val="24"/>
          <w:szCs w:val="24"/>
        </w:rPr>
        <w:t>salariale en Tunisie à l’impôt sur le revenu en Tunisie au titre des traitements,</w:t>
      </w:r>
      <w:r>
        <w:rPr>
          <w:rFonts w:asciiTheme="majorHAnsi" w:hAnsiTheme="majorHAnsi"/>
          <w:sz w:val="24"/>
          <w:szCs w:val="24"/>
        </w:rPr>
        <w:t xml:space="preserve"> </w:t>
      </w:r>
      <w:r w:rsidRPr="006E0FF6">
        <w:rPr>
          <w:rFonts w:asciiTheme="majorHAnsi" w:hAnsiTheme="majorHAnsi"/>
          <w:sz w:val="24"/>
          <w:szCs w:val="24"/>
        </w:rPr>
        <w:t xml:space="preserve">salaires et avantages </w:t>
      </w:r>
      <w:r>
        <w:rPr>
          <w:rFonts w:asciiTheme="majorHAnsi" w:hAnsiTheme="majorHAnsi"/>
          <w:sz w:val="24"/>
          <w:szCs w:val="24"/>
        </w:rPr>
        <w:t xml:space="preserve">en </w:t>
      </w:r>
      <w:r w:rsidRPr="006E0FF6">
        <w:rPr>
          <w:rFonts w:asciiTheme="majorHAnsi" w:hAnsiTheme="majorHAnsi"/>
          <w:sz w:val="24"/>
          <w:szCs w:val="24"/>
        </w:rPr>
        <w:t>nature déduction faite de 10% au titre des frais</w:t>
      </w:r>
      <w:r>
        <w:rPr>
          <w:rFonts w:asciiTheme="majorHAnsi" w:hAnsiTheme="majorHAnsi"/>
          <w:sz w:val="24"/>
          <w:szCs w:val="24"/>
        </w:rPr>
        <w:t xml:space="preserve"> </w:t>
      </w:r>
      <w:r w:rsidRPr="006E0FF6">
        <w:rPr>
          <w:rFonts w:asciiTheme="majorHAnsi" w:hAnsiTheme="majorHAnsi"/>
          <w:sz w:val="24"/>
          <w:szCs w:val="24"/>
        </w:rPr>
        <w:t>professionnels. L’assiette imposable est déterminée pour chaque cadre comme</w:t>
      </w:r>
      <w:r>
        <w:rPr>
          <w:rFonts w:asciiTheme="majorHAnsi" w:hAnsiTheme="majorHAnsi"/>
          <w:sz w:val="24"/>
          <w:szCs w:val="24"/>
        </w:rPr>
        <w:t xml:space="preserve"> </w:t>
      </w:r>
      <w:r w:rsidRPr="006E0FF6">
        <w:rPr>
          <w:rFonts w:asciiTheme="majorHAnsi" w:hAnsiTheme="majorHAnsi"/>
          <w:sz w:val="24"/>
          <w:szCs w:val="24"/>
        </w:rPr>
        <w:t>suit :</w:t>
      </w:r>
      <w:r>
        <w:rPr>
          <w:rFonts w:asciiTheme="majorHAnsi" w:hAnsiTheme="majorHAnsi"/>
          <w:sz w:val="24"/>
          <w:szCs w:val="24"/>
        </w:rPr>
        <w:t xml:space="preserve"> </w:t>
      </w:r>
      <w:r w:rsidRPr="006E0FF6">
        <w:rPr>
          <w:rFonts w:asciiTheme="majorHAnsi" w:hAnsiTheme="majorHAnsi"/>
          <w:sz w:val="24"/>
          <w:szCs w:val="24"/>
        </w:rPr>
        <w:t>(50 000 + 45 000</w:t>
      </w:r>
      <w:r w:rsidR="00CE25C2" w:rsidRPr="006E0FF6">
        <w:rPr>
          <w:rFonts w:asciiTheme="majorHAnsi" w:hAnsiTheme="majorHAnsi"/>
          <w:sz w:val="24"/>
          <w:szCs w:val="24"/>
        </w:rPr>
        <w:t>) ×</w:t>
      </w:r>
      <w:r w:rsidR="00CE25C2">
        <w:rPr>
          <w:rFonts w:asciiTheme="majorHAnsi" w:hAnsiTheme="majorHAnsi"/>
          <w:sz w:val="24"/>
          <w:szCs w:val="24"/>
        </w:rPr>
        <w:t xml:space="preserve"> </w:t>
      </w:r>
      <w:r w:rsidRPr="006E0FF6">
        <w:rPr>
          <w:rFonts w:asciiTheme="majorHAnsi" w:hAnsiTheme="majorHAnsi"/>
          <w:sz w:val="24"/>
          <w:szCs w:val="24"/>
        </w:rPr>
        <w:t>90</w:t>
      </w:r>
      <w:r>
        <w:rPr>
          <w:rFonts w:asciiTheme="majorHAnsi" w:hAnsiTheme="majorHAnsi"/>
          <w:sz w:val="24"/>
          <w:szCs w:val="24"/>
        </w:rPr>
        <w:t xml:space="preserve"> %</w:t>
      </w:r>
      <w:r w:rsidRPr="006E0FF6">
        <w:rPr>
          <w:rFonts w:asciiTheme="majorHAnsi" w:hAnsiTheme="majorHAnsi"/>
          <w:sz w:val="24"/>
          <w:szCs w:val="24"/>
        </w:rPr>
        <w:t xml:space="preserve"> = 85 000 </w:t>
      </w:r>
      <w:r w:rsidR="00CE25C2">
        <w:rPr>
          <w:rFonts w:asciiTheme="majorHAnsi" w:hAnsiTheme="majorHAnsi"/>
          <w:sz w:val="24"/>
          <w:szCs w:val="24"/>
        </w:rPr>
        <w:t>TND.</w:t>
      </w:r>
    </w:p>
    <w:p w:rsidR="00CE25C2" w:rsidRPr="00CE25C2" w:rsidRDefault="00CE25C2" w:rsidP="00CE25C2">
      <w:pPr>
        <w:spacing w:before="120" w:after="120" w:line="360" w:lineRule="auto"/>
        <w:jc w:val="both"/>
        <w:rPr>
          <w:rFonts w:asciiTheme="majorHAnsi" w:hAnsiTheme="majorHAnsi"/>
          <w:sz w:val="24"/>
          <w:szCs w:val="24"/>
        </w:rPr>
      </w:pPr>
      <w:r w:rsidRPr="00CE25C2">
        <w:rPr>
          <w:rFonts w:asciiTheme="majorHAnsi" w:hAnsiTheme="majorHAnsi"/>
          <w:sz w:val="24"/>
          <w:szCs w:val="24"/>
        </w:rPr>
        <w:t xml:space="preserve">L’impôt en question doit faire l’objet d’une retenue à la source à opérer par la société </w:t>
      </w:r>
      <w:r w:rsidRPr="00B97067">
        <w:rPr>
          <w:rFonts w:asciiTheme="majorHAnsi" w:hAnsiTheme="majorHAnsi"/>
          <w:b/>
          <w:bCs/>
          <w:i/>
          <w:iCs/>
          <w:sz w:val="24"/>
          <w:szCs w:val="24"/>
        </w:rPr>
        <w:t>« KLM plus »</w:t>
      </w:r>
      <w:r>
        <w:rPr>
          <w:rFonts w:asciiTheme="majorHAnsi" w:hAnsiTheme="majorHAnsi"/>
          <w:sz w:val="24"/>
          <w:szCs w:val="24"/>
        </w:rPr>
        <w:t>,</w:t>
      </w:r>
      <w:r w:rsidRPr="00CE25C2">
        <w:rPr>
          <w:rFonts w:asciiTheme="majorHAnsi" w:hAnsiTheme="majorHAnsi"/>
          <w:sz w:val="24"/>
          <w:szCs w:val="24"/>
        </w:rPr>
        <w:t xml:space="preserve"> et chaque cadre est tenu de déposer sa déclaration</w:t>
      </w:r>
      <w:r>
        <w:rPr>
          <w:rFonts w:asciiTheme="majorHAnsi" w:hAnsiTheme="majorHAnsi"/>
          <w:sz w:val="24"/>
          <w:szCs w:val="24"/>
        </w:rPr>
        <w:t xml:space="preserve"> </w:t>
      </w:r>
      <w:r w:rsidRPr="00CE25C2">
        <w:rPr>
          <w:rFonts w:asciiTheme="majorHAnsi" w:hAnsiTheme="majorHAnsi"/>
          <w:sz w:val="24"/>
          <w:szCs w:val="24"/>
        </w:rPr>
        <w:t>annuelle au titre des revenus en question.</w:t>
      </w:r>
    </w:p>
    <w:p w:rsidR="00CE25C2" w:rsidRDefault="00CE25C2" w:rsidP="00CE25C2">
      <w:pPr>
        <w:spacing w:before="120" w:after="120" w:line="360" w:lineRule="auto"/>
        <w:jc w:val="both"/>
        <w:rPr>
          <w:rFonts w:asciiTheme="majorHAnsi" w:hAnsiTheme="majorHAnsi"/>
          <w:sz w:val="24"/>
          <w:szCs w:val="24"/>
        </w:rPr>
      </w:pPr>
      <w:r w:rsidRPr="00CE25C2">
        <w:rPr>
          <w:rFonts w:asciiTheme="majorHAnsi" w:hAnsiTheme="majorHAnsi"/>
          <w:sz w:val="24"/>
          <w:szCs w:val="24"/>
        </w:rPr>
        <w:t>Dans le cas où les cadres transfèrent leur habitation principale en Tunisie,</w:t>
      </w:r>
      <w:r>
        <w:rPr>
          <w:rFonts w:asciiTheme="majorHAnsi" w:hAnsiTheme="majorHAnsi"/>
          <w:sz w:val="24"/>
          <w:szCs w:val="24"/>
        </w:rPr>
        <w:t xml:space="preserve"> </w:t>
      </w:r>
      <w:r w:rsidRPr="00CE25C2">
        <w:rPr>
          <w:rFonts w:asciiTheme="majorHAnsi" w:hAnsiTheme="majorHAnsi"/>
          <w:sz w:val="24"/>
          <w:szCs w:val="24"/>
        </w:rPr>
        <w:t>ils acquièrent la qualité de résidents de Tunisie et seront de ce fait imposables à</w:t>
      </w:r>
      <w:r>
        <w:rPr>
          <w:rFonts w:asciiTheme="majorHAnsi" w:hAnsiTheme="majorHAnsi"/>
          <w:sz w:val="24"/>
          <w:szCs w:val="24"/>
        </w:rPr>
        <w:t xml:space="preserve"> </w:t>
      </w:r>
      <w:r w:rsidRPr="00CE25C2">
        <w:rPr>
          <w:rFonts w:asciiTheme="majorHAnsi" w:hAnsiTheme="majorHAnsi"/>
          <w:sz w:val="24"/>
          <w:szCs w:val="24"/>
        </w:rPr>
        <w:t xml:space="preserve">raison de leur revenu global soit les revenus de source </w:t>
      </w:r>
      <w:r>
        <w:rPr>
          <w:rFonts w:asciiTheme="majorHAnsi" w:hAnsiTheme="majorHAnsi"/>
          <w:sz w:val="24"/>
          <w:szCs w:val="24"/>
        </w:rPr>
        <w:t>T</w:t>
      </w:r>
      <w:r w:rsidRPr="00CE25C2">
        <w:rPr>
          <w:rFonts w:asciiTheme="majorHAnsi" w:hAnsiTheme="majorHAnsi"/>
          <w:sz w:val="24"/>
          <w:szCs w:val="24"/>
        </w:rPr>
        <w:t>unisienne et les revenus</w:t>
      </w:r>
      <w:r>
        <w:rPr>
          <w:rFonts w:asciiTheme="majorHAnsi" w:hAnsiTheme="majorHAnsi"/>
          <w:sz w:val="24"/>
          <w:szCs w:val="24"/>
        </w:rPr>
        <w:t xml:space="preserve"> </w:t>
      </w:r>
      <w:r w:rsidRPr="00CE25C2">
        <w:rPr>
          <w:rFonts w:asciiTheme="majorHAnsi" w:hAnsiTheme="majorHAnsi"/>
          <w:sz w:val="24"/>
          <w:szCs w:val="24"/>
        </w:rPr>
        <w:t>de source étrangère non imposés à l’étranger.</w:t>
      </w:r>
    </w:p>
    <w:p w:rsidR="006E0FF6" w:rsidRPr="00CE25C2" w:rsidRDefault="00CE25C2" w:rsidP="006E0FF6">
      <w:pPr>
        <w:pStyle w:val="Paragraphedeliste"/>
        <w:numPr>
          <w:ilvl w:val="0"/>
          <w:numId w:val="35"/>
        </w:numPr>
        <w:spacing w:before="120" w:after="120" w:line="360" w:lineRule="auto"/>
        <w:jc w:val="both"/>
        <w:rPr>
          <w:rFonts w:asciiTheme="majorHAnsi" w:hAnsiTheme="majorHAnsi"/>
          <w:sz w:val="24"/>
          <w:szCs w:val="24"/>
        </w:rPr>
      </w:pPr>
      <w:r w:rsidRPr="00CE25C2">
        <w:rPr>
          <w:rFonts w:asciiTheme="majorHAnsi" w:hAnsiTheme="majorHAnsi"/>
          <w:b/>
          <w:bCs/>
          <w:sz w:val="24"/>
          <w:szCs w:val="24"/>
        </w:rPr>
        <w:t xml:space="preserve">Régime fiscal de l’opération réalisée par l’architecte Espagnole </w:t>
      </w:r>
    </w:p>
    <w:p w:rsidR="00CE25C2" w:rsidRPr="00CE25C2" w:rsidRDefault="00CE25C2" w:rsidP="00CE25C2">
      <w:pPr>
        <w:tabs>
          <w:tab w:val="left" w:pos="709"/>
        </w:tabs>
        <w:spacing w:before="120" w:after="120" w:line="360" w:lineRule="auto"/>
        <w:ind w:left="360"/>
        <w:jc w:val="both"/>
        <w:rPr>
          <w:rFonts w:asciiTheme="majorHAnsi" w:hAnsiTheme="majorHAnsi"/>
          <w:b/>
          <w:bCs/>
          <w:i/>
          <w:iCs/>
          <w:sz w:val="24"/>
          <w:szCs w:val="24"/>
        </w:rPr>
      </w:pPr>
      <w:r w:rsidRPr="00CE25C2">
        <w:rPr>
          <w:rFonts w:asciiTheme="majorHAnsi" w:hAnsiTheme="majorHAnsi"/>
          <w:b/>
          <w:bCs/>
          <w:i/>
          <w:iCs/>
          <w:sz w:val="24"/>
          <w:szCs w:val="24"/>
        </w:rPr>
        <w:t>En matière d’I</w:t>
      </w:r>
      <w:r>
        <w:rPr>
          <w:rFonts w:asciiTheme="majorHAnsi" w:hAnsiTheme="majorHAnsi"/>
          <w:b/>
          <w:bCs/>
          <w:i/>
          <w:iCs/>
          <w:sz w:val="24"/>
          <w:szCs w:val="24"/>
        </w:rPr>
        <w:t>RPP</w:t>
      </w:r>
    </w:p>
    <w:p w:rsidR="006E0FF6" w:rsidRDefault="00CE25C2" w:rsidP="00CE25C2">
      <w:pPr>
        <w:spacing w:before="120" w:after="120" w:line="360" w:lineRule="auto"/>
        <w:jc w:val="both"/>
        <w:rPr>
          <w:rFonts w:asciiTheme="majorHAnsi" w:hAnsiTheme="majorHAnsi"/>
          <w:sz w:val="24"/>
          <w:szCs w:val="24"/>
        </w:rPr>
      </w:pPr>
      <w:r>
        <w:rPr>
          <w:rFonts w:asciiTheme="majorHAnsi" w:hAnsiTheme="majorHAnsi"/>
          <w:sz w:val="24"/>
          <w:szCs w:val="24"/>
        </w:rPr>
        <w:t>Pour l’opération accomplie par l’architecte résident d’Espagne et e</w:t>
      </w:r>
      <w:r w:rsidRPr="00CE25C2">
        <w:rPr>
          <w:rFonts w:asciiTheme="majorHAnsi" w:hAnsiTheme="majorHAnsi"/>
          <w:sz w:val="24"/>
          <w:szCs w:val="24"/>
        </w:rPr>
        <w:t>n vertu des dispositions de</w:t>
      </w:r>
      <w:r>
        <w:rPr>
          <w:rFonts w:asciiTheme="majorHAnsi" w:hAnsiTheme="majorHAnsi"/>
          <w:sz w:val="24"/>
          <w:szCs w:val="24"/>
        </w:rPr>
        <w:t>s</w:t>
      </w:r>
      <w:r w:rsidRPr="00CE25C2">
        <w:rPr>
          <w:rFonts w:asciiTheme="majorHAnsi" w:hAnsiTheme="majorHAnsi"/>
          <w:sz w:val="24"/>
          <w:szCs w:val="24"/>
        </w:rPr>
        <w:t xml:space="preserve"> article</w:t>
      </w:r>
      <w:r>
        <w:rPr>
          <w:rFonts w:asciiTheme="majorHAnsi" w:hAnsiTheme="majorHAnsi"/>
          <w:sz w:val="24"/>
          <w:szCs w:val="24"/>
        </w:rPr>
        <w:t>s combinés</w:t>
      </w:r>
      <w:r w:rsidRPr="00CE25C2">
        <w:rPr>
          <w:rFonts w:asciiTheme="majorHAnsi" w:hAnsiTheme="majorHAnsi"/>
          <w:sz w:val="24"/>
          <w:szCs w:val="24"/>
        </w:rPr>
        <w:t xml:space="preserve"> 12 et 14 de la convention</w:t>
      </w:r>
      <w:r>
        <w:rPr>
          <w:rFonts w:asciiTheme="majorHAnsi" w:hAnsiTheme="majorHAnsi"/>
          <w:sz w:val="24"/>
          <w:szCs w:val="24"/>
        </w:rPr>
        <w:t xml:space="preserve"> </w:t>
      </w:r>
      <w:proofErr w:type="spellStart"/>
      <w:r w:rsidRPr="00CE25C2">
        <w:rPr>
          <w:rFonts w:asciiTheme="majorHAnsi" w:hAnsiTheme="majorHAnsi"/>
          <w:sz w:val="24"/>
          <w:szCs w:val="24"/>
        </w:rPr>
        <w:t>Tuniso</w:t>
      </w:r>
      <w:proofErr w:type="spellEnd"/>
      <w:r w:rsidRPr="00CE25C2">
        <w:rPr>
          <w:rFonts w:asciiTheme="majorHAnsi" w:hAnsiTheme="majorHAnsi"/>
          <w:sz w:val="24"/>
          <w:szCs w:val="24"/>
        </w:rPr>
        <w:t>-</w:t>
      </w:r>
      <w:r>
        <w:rPr>
          <w:rFonts w:asciiTheme="majorHAnsi" w:hAnsiTheme="majorHAnsi"/>
          <w:sz w:val="24"/>
          <w:szCs w:val="24"/>
        </w:rPr>
        <w:t xml:space="preserve">Espagnole </w:t>
      </w:r>
      <w:r w:rsidRPr="00CE25C2">
        <w:rPr>
          <w:rFonts w:asciiTheme="majorHAnsi" w:hAnsiTheme="majorHAnsi"/>
          <w:sz w:val="24"/>
          <w:szCs w:val="24"/>
        </w:rPr>
        <w:t xml:space="preserve">de non double imposition, le régime fiscal serait </w:t>
      </w:r>
      <w:r>
        <w:rPr>
          <w:rFonts w:asciiTheme="majorHAnsi" w:hAnsiTheme="majorHAnsi"/>
          <w:sz w:val="24"/>
          <w:szCs w:val="24"/>
        </w:rPr>
        <w:t xml:space="preserve">déterminé comme suit </w:t>
      </w:r>
      <w:r w:rsidRPr="00CE25C2">
        <w:rPr>
          <w:rFonts w:asciiTheme="majorHAnsi" w:hAnsiTheme="majorHAnsi"/>
          <w:sz w:val="24"/>
          <w:szCs w:val="24"/>
        </w:rPr>
        <w:t>:</w:t>
      </w:r>
    </w:p>
    <w:p w:rsidR="00CE25C2" w:rsidRPr="003E5A36" w:rsidRDefault="00A43776" w:rsidP="00A43776">
      <w:pPr>
        <w:pStyle w:val="Paragraphedeliste"/>
        <w:numPr>
          <w:ilvl w:val="0"/>
          <w:numId w:val="41"/>
        </w:numPr>
        <w:spacing w:before="120" w:after="120" w:line="360" w:lineRule="auto"/>
        <w:jc w:val="both"/>
        <w:rPr>
          <w:rFonts w:asciiTheme="majorHAnsi" w:hAnsiTheme="majorHAnsi"/>
          <w:b/>
          <w:bCs/>
          <w:i/>
          <w:iCs/>
          <w:sz w:val="24"/>
          <w:szCs w:val="24"/>
        </w:rPr>
      </w:pPr>
      <w:r w:rsidRPr="003E5A36">
        <w:rPr>
          <w:rFonts w:asciiTheme="majorHAnsi" w:hAnsiTheme="majorHAnsi"/>
          <w:b/>
          <w:bCs/>
          <w:i/>
          <w:iCs/>
          <w:sz w:val="24"/>
          <w:szCs w:val="24"/>
        </w:rPr>
        <w:t>L’établissement d’un plan</w:t>
      </w:r>
    </w:p>
    <w:p w:rsidR="00A43776" w:rsidRDefault="00A43776" w:rsidP="00A43776">
      <w:pPr>
        <w:spacing w:before="120" w:after="120" w:line="360" w:lineRule="auto"/>
        <w:jc w:val="both"/>
        <w:rPr>
          <w:rFonts w:asciiTheme="majorHAnsi" w:hAnsiTheme="majorHAnsi"/>
          <w:sz w:val="24"/>
          <w:szCs w:val="24"/>
        </w:rPr>
      </w:pPr>
      <w:r>
        <w:rPr>
          <w:rFonts w:asciiTheme="majorHAnsi" w:hAnsiTheme="majorHAnsi"/>
          <w:sz w:val="24"/>
          <w:szCs w:val="24"/>
        </w:rPr>
        <w:t>Un plan d’architecture</w:t>
      </w:r>
      <w:r w:rsidRPr="00A43776">
        <w:rPr>
          <w:rFonts w:asciiTheme="majorHAnsi" w:hAnsiTheme="majorHAnsi"/>
          <w:sz w:val="24"/>
          <w:szCs w:val="24"/>
        </w:rPr>
        <w:t xml:space="preserve"> est</w:t>
      </w:r>
      <w:r>
        <w:rPr>
          <w:rFonts w:asciiTheme="majorHAnsi" w:hAnsiTheme="majorHAnsi"/>
          <w:sz w:val="24"/>
          <w:szCs w:val="24"/>
        </w:rPr>
        <w:t xml:space="preserve"> généralement</w:t>
      </w:r>
      <w:r w:rsidRPr="00A43776">
        <w:rPr>
          <w:rFonts w:asciiTheme="majorHAnsi" w:hAnsiTheme="majorHAnsi"/>
          <w:sz w:val="24"/>
          <w:szCs w:val="24"/>
        </w:rPr>
        <w:t xml:space="preserve"> identifié par un objet et des besoins exprimés par un cahier de charges et suppose de la part de la personne qui l’exécute successivement une </w:t>
      </w:r>
      <w:r w:rsidRPr="00AE33F4">
        <w:rPr>
          <w:rFonts w:asciiTheme="majorHAnsi" w:hAnsiTheme="majorHAnsi"/>
          <w:b/>
          <w:bCs/>
          <w:i/>
          <w:iCs/>
          <w:sz w:val="24"/>
          <w:szCs w:val="24"/>
        </w:rPr>
        <w:t>constatation</w:t>
      </w:r>
      <w:r w:rsidRPr="00A43776">
        <w:rPr>
          <w:rFonts w:asciiTheme="majorHAnsi" w:hAnsiTheme="majorHAnsi"/>
          <w:sz w:val="24"/>
          <w:szCs w:val="24"/>
        </w:rPr>
        <w:t xml:space="preserve">, une </w:t>
      </w:r>
      <w:r w:rsidRPr="00AE33F4">
        <w:rPr>
          <w:rFonts w:asciiTheme="majorHAnsi" w:hAnsiTheme="majorHAnsi"/>
          <w:b/>
          <w:bCs/>
          <w:i/>
          <w:iCs/>
          <w:sz w:val="24"/>
          <w:szCs w:val="24"/>
        </w:rPr>
        <w:t>analyse</w:t>
      </w:r>
      <w:r w:rsidRPr="00A43776">
        <w:rPr>
          <w:rFonts w:asciiTheme="majorHAnsi" w:hAnsiTheme="majorHAnsi"/>
          <w:sz w:val="24"/>
          <w:szCs w:val="24"/>
        </w:rPr>
        <w:t xml:space="preserve"> et une </w:t>
      </w:r>
      <w:r w:rsidRPr="00AE33F4">
        <w:rPr>
          <w:rFonts w:asciiTheme="majorHAnsi" w:hAnsiTheme="majorHAnsi"/>
          <w:b/>
          <w:bCs/>
          <w:i/>
          <w:iCs/>
          <w:sz w:val="24"/>
          <w:szCs w:val="24"/>
        </w:rPr>
        <w:t xml:space="preserve">conclusion </w:t>
      </w:r>
      <w:r w:rsidRPr="00A43776">
        <w:rPr>
          <w:rFonts w:asciiTheme="majorHAnsi" w:hAnsiTheme="majorHAnsi"/>
          <w:sz w:val="24"/>
          <w:szCs w:val="24"/>
        </w:rPr>
        <w:t xml:space="preserve">qui doivent être contenues dans un </w:t>
      </w:r>
      <w:r w:rsidRPr="00AE33F4">
        <w:rPr>
          <w:rFonts w:asciiTheme="majorHAnsi" w:hAnsiTheme="majorHAnsi"/>
          <w:b/>
          <w:bCs/>
          <w:i/>
          <w:iCs/>
          <w:sz w:val="24"/>
          <w:szCs w:val="24"/>
        </w:rPr>
        <w:t xml:space="preserve">rapport </w:t>
      </w:r>
      <w:r w:rsidRPr="00A43776">
        <w:rPr>
          <w:rFonts w:asciiTheme="majorHAnsi" w:hAnsiTheme="majorHAnsi"/>
          <w:sz w:val="24"/>
          <w:szCs w:val="24"/>
        </w:rPr>
        <w:t xml:space="preserve">qui devient la propriété exclusive de la personne qui la commande la société </w:t>
      </w:r>
      <w:r w:rsidRPr="00A43776">
        <w:rPr>
          <w:rFonts w:asciiTheme="majorHAnsi" w:hAnsiTheme="majorHAnsi"/>
          <w:b/>
          <w:bCs/>
          <w:sz w:val="24"/>
          <w:szCs w:val="24"/>
        </w:rPr>
        <w:t>« KLM plus »</w:t>
      </w:r>
      <w:r w:rsidRPr="00A43776">
        <w:rPr>
          <w:rFonts w:asciiTheme="majorHAnsi" w:hAnsiTheme="majorHAnsi"/>
          <w:sz w:val="24"/>
          <w:szCs w:val="24"/>
        </w:rPr>
        <w:t>.</w:t>
      </w:r>
    </w:p>
    <w:p w:rsidR="00A43776" w:rsidRPr="00A43776" w:rsidRDefault="00A43776" w:rsidP="00A43776">
      <w:pPr>
        <w:spacing w:before="120" w:after="120" w:line="360" w:lineRule="auto"/>
        <w:jc w:val="both"/>
        <w:rPr>
          <w:rFonts w:asciiTheme="majorHAnsi" w:hAnsiTheme="majorHAnsi"/>
          <w:sz w:val="24"/>
          <w:szCs w:val="24"/>
        </w:rPr>
      </w:pPr>
      <w:r w:rsidRPr="00A43776">
        <w:rPr>
          <w:rFonts w:asciiTheme="majorHAnsi" w:hAnsiTheme="majorHAnsi"/>
          <w:sz w:val="24"/>
          <w:szCs w:val="24"/>
        </w:rPr>
        <w:t xml:space="preserve">En absence d’un établissement stable et en vertu de l’article 12 de la convention </w:t>
      </w:r>
      <w:proofErr w:type="spellStart"/>
      <w:r w:rsidRPr="00A43776">
        <w:rPr>
          <w:rFonts w:asciiTheme="majorHAnsi" w:hAnsiTheme="majorHAnsi"/>
          <w:sz w:val="24"/>
          <w:szCs w:val="24"/>
        </w:rPr>
        <w:t>Tuniso</w:t>
      </w:r>
      <w:proofErr w:type="spellEnd"/>
      <w:r w:rsidRPr="00A43776">
        <w:rPr>
          <w:rFonts w:asciiTheme="majorHAnsi" w:hAnsiTheme="majorHAnsi"/>
          <w:sz w:val="24"/>
          <w:szCs w:val="24"/>
        </w:rPr>
        <w:t xml:space="preserve">-Espagnole de non double imposition, les rémunérations payées à ce titre sont qualifiée de </w:t>
      </w:r>
      <w:r w:rsidRPr="00A43776">
        <w:rPr>
          <w:rFonts w:asciiTheme="majorHAnsi" w:hAnsiTheme="majorHAnsi"/>
          <w:b/>
          <w:bCs/>
          <w:i/>
          <w:iCs/>
          <w:sz w:val="24"/>
          <w:szCs w:val="24"/>
        </w:rPr>
        <w:t>redevance</w:t>
      </w:r>
      <w:r w:rsidRPr="00A43776">
        <w:rPr>
          <w:rFonts w:asciiTheme="majorHAnsi" w:hAnsiTheme="majorHAnsi"/>
          <w:sz w:val="24"/>
          <w:szCs w:val="24"/>
        </w:rPr>
        <w:t xml:space="preserve"> et sont imposable</w:t>
      </w:r>
      <w:r>
        <w:rPr>
          <w:rFonts w:asciiTheme="majorHAnsi" w:hAnsiTheme="majorHAnsi"/>
          <w:sz w:val="24"/>
          <w:szCs w:val="24"/>
        </w:rPr>
        <w:t>s</w:t>
      </w:r>
      <w:r w:rsidRPr="00A43776">
        <w:rPr>
          <w:rFonts w:asciiTheme="majorHAnsi" w:hAnsiTheme="majorHAnsi"/>
          <w:sz w:val="24"/>
          <w:szCs w:val="24"/>
        </w:rPr>
        <w:t xml:space="preserve">, de ce fait, en Tunisie par voie de retenue à la source libératoire au taux de 10% de leur montant brut, soit : </w:t>
      </w:r>
      <w:r>
        <w:rPr>
          <w:rFonts w:asciiTheme="majorHAnsi" w:hAnsiTheme="majorHAnsi"/>
          <w:sz w:val="24"/>
          <w:szCs w:val="24"/>
        </w:rPr>
        <w:t>5</w:t>
      </w:r>
      <w:r w:rsidRPr="00A43776">
        <w:rPr>
          <w:rFonts w:asciiTheme="majorHAnsi" w:hAnsiTheme="majorHAnsi"/>
          <w:sz w:val="24"/>
          <w:szCs w:val="24"/>
        </w:rPr>
        <w:t xml:space="preserve">0.000,000 x 1,12 x 10 % = </w:t>
      </w:r>
      <w:r>
        <w:rPr>
          <w:rFonts w:asciiTheme="majorHAnsi" w:hAnsiTheme="majorHAnsi"/>
          <w:sz w:val="24"/>
          <w:szCs w:val="24"/>
        </w:rPr>
        <w:t>5</w:t>
      </w:r>
      <w:r w:rsidRPr="00A43776">
        <w:rPr>
          <w:rFonts w:asciiTheme="majorHAnsi" w:hAnsiTheme="majorHAnsi"/>
          <w:sz w:val="24"/>
          <w:szCs w:val="24"/>
        </w:rPr>
        <w:t>.</w:t>
      </w:r>
      <w:r>
        <w:rPr>
          <w:rFonts w:asciiTheme="majorHAnsi" w:hAnsiTheme="majorHAnsi"/>
          <w:sz w:val="24"/>
          <w:szCs w:val="24"/>
        </w:rPr>
        <w:t>6</w:t>
      </w:r>
      <w:r w:rsidRPr="00A43776">
        <w:rPr>
          <w:rFonts w:asciiTheme="majorHAnsi" w:hAnsiTheme="majorHAnsi"/>
          <w:sz w:val="24"/>
          <w:szCs w:val="24"/>
        </w:rPr>
        <w:t>00,000 TND.</w:t>
      </w:r>
    </w:p>
    <w:p w:rsidR="00A43776" w:rsidRPr="00A43776" w:rsidRDefault="00A43776" w:rsidP="003E5A36">
      <w:pPr>
        <w:spacing w:before="120" w:after="120" w:line="360" w:lineRule="auto"/>
        <w:jc w:val="both"/>
        <w:rPr>
          <w:rFonts w:asciiTheme="majorHAnsi" w:hAnsiTheme="majorHAnsi"/>
          <w:sz w:val="24"/>
          <w:szCs w:val="24"/>
        </w:rPr>
      </w:pPr>
      <w:r w:rsidRPr="00A43776">
        <w:rPr>
          <w:rFonts w:asciiTheme="majorHAnsi" w:hAnsiTheme="majorHAnsi"/>
          <w:sz w:val="24"/>
          <w:szCs w:val="24"/>
        </w:rPr>
        <w:lastRenderedPageBreak/>
        <w:t xml:space="preserve">En cas de prise en charge de l’impôt par la société </w:t>
      </w:r>
      <w:r w:rsidRPr="003E5A36">
        <w:rPr>
          <w:rFonts w:asciiTheme="majorHAnsi" w:hAnsiTheme="majorHAnsi"/>
          <w:b/>
          <w:bCs/>
          <w:i/>
          <w:iCs/>
          <w:sz w:val="24"/>
          <w:szCs w:val="24"/>
        </w:rPr>
        <w:t>« KLM plus »</w:t>
      </w:r>
      <w:r w:rsidRPr="00A43776">
        <w:rPr>
          <w:rFonts w:asciiTheme="majorHAnsi" w:hAnsiTheme="majorHAnsi"/>
          <w:sz w:val="24"/>
          <w:szCs w:val="24"/>
        </w:rPr>
        <w:t xml:space="preserve">, la retenue à la source doit être effectuée au taux de 17,64%, soit : </w:t>
      </w:r>
      <w:r>
        <w:rPr>
          <w:rFonts w:asciiTheme="majorHAnsi" w:hAnsiTheme="majorHAnsi"/>
          <w:sz w:val="24"/>
          <w:szCs w:val="24"/>
        </w:rPr>
        <w:t>5</w:t>
      </w:r>
      <w:r w:rsidRPr="00A43776">
        <w:rPr>
          <w:rFonts w:asciiTheme="majorHAnsi" w:hAnsiTheme="majorHAnsi"/>
          <w:sz w:val="24"/>
          <w:szCs w:val="24"/>
        </w:rPr>
        <w:t>0.000,000 x 1,12 x 17,64 % = 9.</w:t>
      </w:r>
      <w:r w:rsidR="003E5A36">
        <w:rPr>
          <w:rFonts w:asciiTheme="majorHAnsi" w:hAnsiTheme="majorHAnsi"/>
          <w:sz w:val="24"/>
          <w:szCs w:val="24"/>
        </w:rPr>
        <w:t>878</w:t>
      </w:r>
      <w:r w:rsidRPr="00A43776">
        <w:rPr>
          <w:rFonts w:asciiTheme="majorHAnsi" w:hAnsiTheme="majorHAnsi"/>
          <w:sz w:val="24"/>
          <w:szCs w:val="24"/>
        </w:rPr>
        <w:t>,</w:t>
      </w:r>
      <w:r w:rsidR="003E5A36">
        <w:rPr>
          <w:rFonts w:asciiTheme="majorHAnsi" w:hAnsiTheme="majorHAnsi"/>
          <w:sz w:val="24"/>
          <w:szCs w:val="24"/>
        </w:rPr>
        <w:t>4</w:t>
      </w:r>
      <w:r w:rsidRPr="00A43776">
        <w:rPr>
          <w:rFonts w:asciiTheme="majorHAnsi" w:hAnsiTheme="majorHAnsi"/>
          <w:sz w:val="24"/>
          <w:szCs w:val="24"/>
        </w:rPr>
        <w:t>00 TND.</w:t>
      </w:r>
    </w:p>
    <w:p w:rsidR="003E5A36" w:rsidRPr="003E5A36" w:rsidRDefault="003E5A36" w:rsidP="003E5A36">
      <w:pPr>
        <w:pStyle w:val="Paragraphedeliste"/>
        <w:numPr>
          <w:ilvl w:val="0"/>
          <w:numId w:val="41"/>
        </w:numPr>
        <w:spacing w:before="120" w:after="120" w:line="360" w:lineRule="auto"/>
        <w:jc w:val="both"/>
        <w:rPr>
          <w:rFonts w:asciiTheme="majorHAnsi" w:hAnsiTheme="majorHAnsi"/>
          <w:b/>
          <w:bCs/>
          <w:i/>
          <w:iCs/>
          <w:sz w:val="24"/>
          <w:szCs w:val="24"/>
        </w:rPr>
      </w:pPr>
      <w:r w:rsidRPr="003E5A36">
        <w:rPr>
          <w:rFonts w:asciiTheme="majorHAnsi" w:hAnsiTheme="majorHAnsi"/>
          <w:b/>
          <w:bCs/>
          <w:i/>
          <w:iCs/>
          <w:sz w:val="24"/>
          <w:szCs w:val="24"/>
        </w:rPr>
        <w:t>L</w:t>
      </w:r>
      <w:r>
        <w:rPr>
          <w:rFonts w:asciiTheme="majorHAnsi" w:hAnsiTheme="majorHAnsi"/>
          <w:b/>
          <w:bCs/>
          <w:i/>
          <w:iCs/>
          <w:sz w:val="24"/>
          <w:szCs w:val="24"/>
        </w:rPr>
        <w:t>a</w:t>
      </w:r>
      <w:r>
        <w:rPr>
          <w:rFonts w:ascii="Times-Bold" w:hAnsi="Times-Bold" w:cs="Times-Bold"/>
          <w:b/>
          <w:bCs/>
          <w:sz w:val="27"/>
          <w:szCs w:val="27"/>
        </w:rPr>
        <w:t xml:space="preserve"> </w:t>
      </w:r>
      <w:r w:rsidRPr="003E5A36">
        <w:rPr>
          <w:rFonts w:asciiTheme="majorHAnsi" w:hAnsiTheme="majorHAnsi"/>
          <w:b/>
          <w:bCs/>
          <w:i/>
          <w:iCs/>
          <w:sz w:val="24"/>
          <w:szCs w:val="24"/>
        </w:rPr>
        <w:t>décoration de l’hôtel</w:t>
      </w:r>
    </w:p>
    <w:p w:rsidR="00CE25C2" w:rsidRPr="003E5A36" w:rsidRDefault="003E5A36" w:rsidP="003E5A36">
      <w:pPr>
        <w:spacing w:before="120" w:after="120" w:line="360" w:lineRule="auto"/>
        <w:jc w:val="both"/>
        <w:rPr>
          <w:rFonts w:asciiTheme="majorHAnsi" w:hAnsiTheme="majorHAnsi"/>
          <w:sz w:val="24"/>
          <w:szCs w:val="24"/>
        </w:rPr>
      </w:pPr>
      <w:r w:rsidRPr="003E5A36">
        <w:rPr>
          <w:rFonts w:asciiTheme="majorHAnsi" w:hAnsiTheme="majorHAnsi"/>
          <w:sz w:val="24"/>
          <w:szCs w:val="24"/>
        </w:rPr>
        <w:t>Ne s’agissant pas d’un cas de redevance, de même les conditions de l’article</w:t>
      </w:r>
      <w:r>
        <w:rPr>
          <w:rFonts w:asciiTheme="majorHAnsi" w:hAnsiTheme="majorHAnsi"/>
          <w:sz w:val="24"/>
          <w:szCs w:val="24"/>
        </w:rPr>
        <w:t xml:space="preserve"> </w:t>
      </w:r>
      <w:r w:rsidRPr="003E5A36">
        <w:rPr>
          <w:rFonts w:asciiTheme="majorHAnsi" w:hAnsiTheme="majorHAnsi"/>
          <w:sz w:val="24"/>
          <w:szCs w:val="24"/>
        </w:rPr>
        <w:t xml:space="preserve">14 </w:t>
      </w:r>
      <w:r>
        <w:rPr>
          <w:rFonts w:asciiTheme="majorHAnsi" w:hAnsiTheme="majorHAnsi"/>
          <w:sz w:val="24"/>
          <w:szCs w:val="24"/>
        </w:rPr>
        <w:t xml:space="preserve">de la convention </w:t>
      </w:r>
      <w:proofErr w:type="spellStart"/>
      <w:r w:rsidRPr="00A43776">
        <w:rPr>
          <w:rFonts w:asciiTheme="majorHAnsi" w:hAnsiTheme="majorHAnsi"/>
          <w:sz w:val="24"/>
          <w:szCs w:val="24"/>
        </w:rPr>
        <w:t>Tuniso</w:t>
      </w:r>
      <w:proofErr w:type="spellEnd"/>
      <w:r w:rsidRPr="00A43776">
        <w:rPr>
          <w:rFonts w:asciiTheme="majorHAnsi" w:hAnsiTheme="majorHAnsi"/>
          <w:sz w:val="24"/>
          <w:szCs w:val="24"/>
        </w:rPr>
        <w:t>-Espagnole</w:t>
      </w:r>
      <w:r>
        <w:rPr>
          <w:rFonts w:asciiTheme="majorHAnsi" w:hAnsiTheme="majorHAnsi"/>
          <w:sz w:val="24"/>
          <w:szCs w:val="24"/>
        </w:rPr>
        <w:t xml:space="preserve"> de non double imposition </w:t>
      </w:r>
      <w:r w:rsidRPr="003E5A36">
        <w:rPr>
          <w:rFonts w:asciiTheme="majorHAnsi" w:hAnsiTheme="majorHAnsi"/>
          <w:sz w:val="24"/>
          <w:szCs w:val="24"/>
        </w:rPr>
        <w:t>n’étant remplies aucune imposition n’est due en matière d’IR</w:t>
      </w:r>
      <w:r>
        <w:rPr>
          <w:rFonts w:asciiTheme="majorHAnsi" w:hAnsiTheme="majorHAnsi"/>
          <w:sz w:val="24"/>
          <w:szCs w:val="24"/>
        </w:rPr>
        <w:t>PP</w:t>
      </w:r>
      <w:r w:rsidRPr="003E5A36">
        <w:rPr>
          <w:rFonts w:asciiTheme="majorHAnsi" w:hAnsiTheme="majorHAnsi"/>
          <w:sz w:val="24"/>
          <w:szCs w:val="24"/>
        </w:rPr>
        <w:t xml:space="preserve"> à ce titre.</w:t>
      </w:r>
    </w:p>
    <w:p w:rsidR="003E5A36" w:rsidRPr="00621EAB" w:rsidRDefault="003E5A36" w:rsidP="003E5A36">
      <w:pPr>
        <w:tabs>
          <w:tab w:val="left" w:pos="709"/>
        </w:tabs>
        <w:spacing w:before="120" w:after="120" w:line="360" w:lineRule="auto"/>
        <w:ind w:left="360"/>
        <w:jc w:val="both"/>
        <w:rPr>
          <w:rFonts w:asciiTheme="majorHAnsi" w:hAnsiTheme="majorHAnsi"/>
          <w:b/>
          <w:bCs/>
          <w:i/>
          <w:iCs/>
          <w:sz w:val="24"/>
          <w:szCs w:val="24"/>
        </w:rPr>
      </w:pPr>
      <w:r w:rsidRPr="00621EAB">
        <w:rPr>
          <w:rFonts w:asciiTheme="majorHAnsi" w:hAnsiTheme="majorHAnsi"/>
          <w:b/>
          <w:bCs/>
          <w:i/>
          <w:iCs/>
          <w:sz w:val="24"/>
          <w:szCs w:val="24"/>
        </w:rPr>
        <w:t>En matière de TVA</w:t>
      </w:r>
    </w:p>
    <w:p w:rsidR="003E5A36" w:rsidRDefault="003E5A36" w:rsidP="00AE33F4">
      <w:pPr>
        <w:tabs>
          <w:tab w:val="left" w:pos="709"/>
        </w:tabs>
        <w:spacing w:before="120" w:after="120" w:line="360" w:lineRule="auto"/>
        <w:jc w:val="both"/>
        <w:rPr>
          <w:rFonts w:asciiTheme="majorHAnsi" w:hAnsiTheme="majorHAnsi"/>
          <w:sz w:val="24"/>
          <w:szCs w:val="24"/>
        </w:rPr>
      </w:pPr>
      <w:r w:rsidRPr="00AA276B">
        <w:rPr>
          <w:rFonts w:asciiTheme="majorHAnsi" w:hAnsiTheme="majorHAnsi"/>
          <w:sz w:val="24"/>
          <w:szCs w:val="24"/>
        </w:rPr>
        <w:t>Les rémunérations sont la contrepartie d</w:t>
      </w:r>
      <w:r w:rsidR="00AE33F4">
        <w:rPr>
          <w:rFonts w:asciiTheme="majorHAnsi" w:hAnsiTheme="majorHAnsi"/>
          <w:sz w:val="24"/>
          <w:szCs w:val="24"/>
        </w:rPr>
        <w:t>es</w:t>
      </w:r>
      <w:r w:rsidRPr="00AA276B">
        <w:rPr>
          <w:rFonts w:asciiTheme="majorHAnsi" w:hAnsiTheme="majorHAnsi"/>
          <w:sz w:val="24"/>
          <w:szCs w:val="24"/>
        </w:rPr>
        <w:t xml:space="preserve"> service</w:t>
      </w:r>
      <w:r w:rsidR="00AE33F4">
        <w:rPr>
          <w:rFonts w:asciiTheme="majorHAnsi" w:hAnsiTheme="majorHAnsi"/>
          <w:sz w:val="24"/>
          <w:szCs w:val="24"/>
        </w:rPr>
        <w:t>s</w:t>
      </w:r>
      <w:r w:rsidRPr="00AA276B">
        <w:rPr>
          <w:rFonts w:asciiTheme="majorHAnsi" w:hAnsiTheme="majorHAnsi"/>
          <w:sz w:val="24"/>
          <w:szCs w:val="24"/>
        </w:rPr>
        <w:t xml:space="preserve"> consommé</w:t>
      </w:r>
      <w:r w:rsidR="00AE33F4">
        <w:rPr>
          <w:rFonts w:asciiTheme="majorHAnsi" w:hAnsiTheme="majorHAnsi"/>
          <w:sz w:val="24"/>
          <w:szCs w:val="24"/>
        </w:rPr>
        <w:t>s</w:t>
      </w:r>
      <w:r w:rsidRPr="00AA276B">
        <w:rPr>
          <w:rFonts w:asciiTheme="majorHAnsi" w:hAnsiTheme="majorHAnsi"/>
          <w:sz w:val="24"/>
          <w:szCs w:val="24"/>
        </w:rPr>
        <w:t xml:space="preserve"> en Tunisie,</w:t>
      </w:r>
      <w:r>
        <w:rPr>
          <w:rFonts w:asciiTheme="majorHAnsi" w:hAnsiTheme="majorHAnsi"/>
          <w:sz w:val="24"/>
          <w:szCs w:val="24"/>
        </w:rPr>
        <w:t xml:space="preserve"> </w:t>
      </w:r>
      <w:r w:rsidRPr="00AA276B">
        <w:rPr>
          <w:rFonts w:asciiTheme="majorHAnsi" w:hAnsiTheme="majorHAnsi"/>
          <w:sz w:val="24"/>
          <w:szCs w:val="24"/>
        </w:rPr>
        <w:t>elles rentrent donc dans le champ d’application territoriale de la TVA qui est</w:t>
      </w:r>
      <w:r>
        <w:rPr>
          <w:rFonts w:asciiTheme="majorHAnsi" w:hAnsiTheme="majorHAnsi"/>
          <w:sz w:val="24"/>
          <w:szCs w:val="24"/>
        </w:rPr>
        <w:t xml:space="preserve"> </w:t>
      </w:r>
      <w:r w:rsidRPr="00AA276B">
        <w:rPr>
          <w:rFonts w:asciiTheme="majorHAnsi" w:hAnsiTheme="majorHAnsi"/>
          <w:sz w:val="24"/>
          <w:szCs w:val="24"/>
        </w:rPr>
        <w:t>due au taux de 1</w:t>
      </w:r>
      <w:r w:rsidR="00430670">
        <w:rPr>
          <w:rFonts w:asciiTheme="majorHAnsi" w:hAnsiTheme="majorHAnsi"/>
          <w:sz w:val="24"/>
          <w:szCs w:val="24"/>
        </w:rPr>
        <w:t>2</w:t>
      </w:r>
      <w:r>
        <w:rPr>
          <w:rFonts w:asciiTheme="majorHAnsi" w:hAnsiTheme="majorHAnsi"/>
          <w:sz w:val="24"/>
          <w:szCs w:val="24"/>
        </w:rPr>
        <w:t xml:space="preserve"> </w:t>
      </w:r>
      <w:r w:rsidRPr="00AA276B">
        <w:rPr>
          <w:rFonts w:asciiTheme="majorHAnsi" w:hAnsiTheme="majorHAnsi"/>
          <w:sz w:val="24"/>
          <w:szCs w:val="24"/>
        </w:rPr>
        <w:t>%.</w:t>
      </w:r>
    </w:p>
    <w:p w:rsidR="003E5A36" w:rsidRDefault="00430670" w:rsidP="00430670">
      <w:pPr>
        <w:spacing w:before="120" w:after="120" w:line="360" w:lineRule="auto"/>
        <w:jc w:val="both"/>
        <w:rPr>
          <w:rFonts w:asciiTheme="majorHAnsi" w:hAnsiTheme="majorHAnsi"/>
          <w:sz w:val="24"/>
          <w:szCs w:val="24"/>
        </w:rPr>
      </w:pPr>
      <w:r>
        <w:rPr>
          <w:rFonts w:asciiTheme="majorHAnsi" w:hAnsiTheme="majorHAnsi"/>
          <w:sz w:val="24"/>
          <w:szCs w:val="24"/>
        </w:rPr>
        <w:t xml:space="preserve">N’ayant pas de base fixe </w:t>
      </w:r>
      <w:r w:rsidR="003E5A36" w:rsidRPr="004139EE">
        <w:rPr>
          <w:rFonts w:asciiTheme="majorHAnsi" w:hAnsiTheme="majorHAnsi"/>
          <w:sz w:val="24"/>
          <w:szCs w:val="24"/>
        </w:rPr>
        <w:t>en Tunisie</w:t>
      </w:r>
      <w:r>
        <w:rPr>
          <w:rFonts w:asciiTheme="majorHAnsi" w:hAnsiTheme="majorHAnsi"/>
          <w:sz w:val="24"/>
          <w:szCs w:val="24"/>
        </w:rPr>
        <w:t xml:space="preserve"> l’architecte Espagnole</w:t>
      </w:r>
      <w:r w:rsidR="003E5A36" w:rsidRPr="00295461">
        <w:rPr>
          <w:rFonts w:asciiTheme="majorHAnsi" w:hAnsiTheme="majorHAnsi"/>
          <w:sz w:val="24"/>
          <w:szCs w:val="24"/>
        </w:rPr>
        <w:t xml:space="preserve"> </w:t>
      </w:r>
      <w:r w:rsidR="003E5A36" w:rsidRPr="004139EE">
        <w:rPr>
          <w:rFonts w:asciiTheme="majorHAnsi" w:hAnsiTheme="majorHAnsi"/>
          <w:sz w:val="24"/>
          <w:szCs w:val="24"/>
        </w:rPr>
        <w:t xml:space="preserve">sera soumis </w:t>
      </w:r>
      <w:r w:rsidR="003E5A36">
        <w:rPr>
          <w:rFonts w:asciiTheme="majorHAnsi" w:hAnsiTheme="majorHAnsi"/>
          <w:sz w:val="24"/>
          <w:szCs w:val="24"/>
        </w:rPr>
        <w:t>à</w:t>
      </w:r>
      <w:r w:rsidR="003E5A36" w:rsidRPr="004139EE">
        <w:rPr>
          <w:rFonts w:asciiTheme="majorHAnsi" w:hAnsiTheme="majorHAnsi"/>
          <w:sz w:val="24"/>
          <w:szCs w:val="24"/>
        </w:rPr>
        <w:t xml:space="preserve"> la retenue </w:t>
      </w:r>
      <w:r w:rsidR="003E5A36">
        <w:rPr>
          <w:rFonts w:asciiTheme="majorHAnsi" w:hAnsiTheme="majorHAnsi"/>
          <w:sz w:val="24"/>
          <w:szCs w:val="24"/>
        </w:rPr>
        <w:t>à</w:t>
      </w:r>
      <w:r w:rsidR="003E5A36" w:rsidRPr="004139EE">
        <w:rPr>
          <w:rFonts w:asciiTheme="majorHAnsi" w:hAnsiTheme="majorHAnsi"/>
          <w:sz w:val="24"/>
          <w:szCs w:val="24"/>
        </w:rPr>
        <w:t xml:space="preserve"> la source au titre de la TVA au taux de 100%, et ceux conformément aux dispositions de l’article 19 du code TVA qui stipule</w:t>
      </w:r>
      <w:r w:rsidR="003E5A36">
        <w:rPr>
          <w:rFonts w:asciiTheme="majorHAnsi" w:hAnsiTheme="majorHAnsi"/>
          <w:sz w:val="24"/>
          <w:szCs w:val="24"/>
        </w:rPr>
        <w:t> :</w:t>
      </w:r>
      <w:r w:rsidR="003E5A36" w:rsidRPr="004139EE">
        <w:rPr>
          <w:rFonts w:asciiTheme="majorHAnsi" w:hAnsiTheme="majorHAnsi"/>
          <w:sz w:val="24"/>
          <w:szCs w:val="24"/>
        </w:rPr>
        <w:t xml:space="preserve"> « </w:t>
      </w:r>
      <w:r w:rsidR="003E5A36" w:rsidRPr="00436061">
        <w:rPr>
          <w:rFonts w:asciiTheme="majorHAnsi" w:hAnsiTheme="majorHAnsi"/>
          <w:sz w:val="24"/>
          <w:szCs w:val="24"/>
        </w:rPr>
        <w:t xml:space="preserve">en cas de réalisation par les personnes morales et les personne physiques n’ayant pas d’établissement en Tunisie d’opérations soumises </w:t>
      </w:r>
      <w:r w:rsidR="003E5A36">
        <w:rPr>
          <w:rFonts w:asciiTheme="majorHAnsi" w:hAnsiTheme="majorHAnsi"/>
          <w:sz w:val="24"/>
          <w:szCs w:val="24"/>
        </w:rPr>
        <w:t>à</w:t>
      </w:r>
      <w:r w:rsidR="003E5A36" w:rsidRPr="00436061">
        <w:rPr>
          <w:rFonts w:asciiTheme="majorHAnsi" w:hAnsiTheme="majorHAnsi"/>
          <w:sz w:val="24"/>
          <w:szCs w:val="24"/>
        </w:rPr>
        <w:t xml:space="preserve"> la taxe sur la valeur ajouté, </w:t>
      </w:r>
      <w:r w:rsidR="003E5A36" w:rsidRPr="00436061">
        <w:rPr>
          <w:rFonts w:asciiTheme="majorHAnsi" w:hAnsiTheme="majorHAnsi"/>
          <w:b/>
          <w:bCs/>
          <w:i/>
          <w:iCs/>
          <w:sz w:val="24"/>
          <w:szCs w:val="24"/>
        </w:rPr>
        <w:t>leurs clients</w:t>
      </w:r>
      <w:r w:rsidR="003E5A36" w:rsidRPr="00436061">
        <w:rPr>
          <w:rFonts w:asciiTheme="majorHAnsi" w:hAnsiTheme="majorHAnsi"/>
          <w:sz w:val="24"/>
          <w:szCs w:val="24"/>
        </w:rPr>
        <w:t xml:space="preserve"> sont tenus de </w:t>
      </w:r>
      <w:r w:rsidR="003E5A36" w:rsidRPr="00427628">
        <w:rPr>
          <w:rFonts w:asciiTheme="majorHAnsi" w:hAnsiTheme="majorHAnsi"/>
          <w:b/>
          <w:bCs/>
          <w:i/>
          <w:iCs/>
          <w:sz w:val="24"/>
          <w:szCs w:val="24"/>
        </w:rPr>
        <w:t>retenir</w:t>
      </w:r>
      <w:r w:rsidR="003E5A36" w:rsidRPr="00436061">
        <w:rPr>
          <w:rFonts w:asciiTheme="majorHAnsi" w:hAnsiTheme="majorHAnsi"/>
          <w:sz w:val="24"/>
          <w:szCs w:val="24"/>
        </w:rPr>
        <w:t xml:space="preserve"> la taxe sur la valeur ajouté</w:t>
      </w:r>
      <w:r w:rsidR="003E5A36">
        <w:rPr>
          <w:rFonts w:asciiTheme="majorHAnsi" w:hAnsiTheme="majorHAnsi"/>
          <w:sz w:val="24"/>
          <w:szCs w:val="24"/>
        </w:rPr>
        <w:t>e</w:t>
      </w:r>
      <w:r w:rsidR="003E5A36" w:rsidRPr="00436061">
        <w:rPr>
          <w:rFonts w:asciiTheme="majorHAnsi" w:hAnsiTheme="majorHAnsi"/>
          <w:sz w:val="24"/>
          <w:szCs w:val="24"/>
        </w:rPr>
        <w:t xml:space="preserve"> d</w:t>
      </w:r>
      <w:r w:rsidR="003E5A36">
        <w:rPr>
          <w:rFonts w:asciiTheme="majorHAnsi" w:hAnsiTheme="majorHAnsi"/>
          <w:sz w:val="24"/>
          <w:szCs w:val="24"/>
        </w:rPr>
        <w:t>û</w:t>
      </w:r>
      <w:r w:rsidR="003E5A36" w:rsidRPr="00436061">
        <w:rPr>
          <w:rFonts w:asciiTheme="majorHAnsi" w:hAnsiTheme="majorHAnsi"/>
          <w:sz w:val="24"/>
          <w:szCs w:val="24"/>
        </w:rPr>
        <w:t xml:space="preserve"> au titre de ces opérations. Cette retenue est libératoire de ladite taxe</w:t>
      </w:r>
      <w:r w:rsidR="003E5A36" w:rsidRPr="004139EE">
        <w:rPr>
          <w:rFonts w:asciiTheme="majorHAnsi" w:hAnsiTheme="majorHAnsi"/>
          <w:sz w:val="24"/>
          <w:szCs w:val="24"/>
        </w:rPr>
        <w:t> ». </w:t>
      </w:r>
    </w:p>
    <w:p w:rsidR="003E5A36" w:rsidRDefault="003E5A36" w:rsidP="00430670">
      <w:pPr>
        <w:tabs>
          <w:tab w:val="left" w:pos="709"/>
        </w:tabs>
        <w:spacing w:before="120" w:after="120" w:line="360" w:lineRule="auto"/>
        <w:jc w:val="both"/>
        <w:rPr>
          <w:rFonts w:asciiTheme="majorHAnsi" w:hAnsiTheme="majorHAnsi"/>
          <w:sz w:val="24"/>
          <w:szCs w:val="24"/>
          <w:lang w:bidi="ar-TN"/>
        </w:rPr>
      </w:pPr>
      <w:r w:rsidRPr="004139EE">
        <w:rPr>
          <w:rFonts w:asciiTheme="majorHAnsi" w:hAnsiTheme="majorHAnsi"/>
          <w:sz w:val="24"/>
          <w:szCs w:val="24"/>
        </w:rPr>
        <w:t xml:space="preserve"> La TVA retenu à la source est déterminée comme suit </w:t>
      </w:r>
      <w:r>
        <w:rPr>
          <w:rFonts w:asciiTheme="majorHAnsi" w:hAnsiTheme="majorHAnsi"/>
          <w:sz w:val="24"/>
          <w:szCs w:val="24"/>
        </w:rPr>
        <w:t>=</w:t>
      </w:r>
      <w:r w:rsidR="00430670">
        <w:rPr>
          <w:rFonts w:asciiTheme="majorHAnsi" w:hAnsiTheme="majorHAnsi"/>
          <w:sz w:val="24"/>
          <w:szCs w:val="24"/>
        </w:rPr>
        <w:t xml:space="preserve"> (</w:t>
      </w:r>
      <w:r w:rsidR="00430670">
        <w:rPr>
          <w:rFonts w:asciiTheme="majorHAnsi" w:hAnsiTheme="majorHAnsi"/>
          <w:sz w:val="24"/>
          <w:szCs w:val="24"/>
          <w:lang w:bidi="ar-TN"/>
        </w:rPr>
        <w:t>50.000 + 40.000</w:t>
      </w:r>
      <w:r w:rsidR="00430670">
        <w:rPr>
          <w:rFonts w:asciiTheme="majorHAnsi" w:hAnsiTheme="majorHAnsi"/>
          <w:sz w:val="24"/>
          <w:szCs w:val="24"/>
        </w:rPr>
        <w:t xml:space="preserve">) </w:t>
      </w:r>
      <w:proofErr w:type="spellStart"/>
      <w:r w:rsidRPr="00F17DC9">
        <w:rPr>
          <w:rFonts w:asciiTheme="majorHAnsi" w:hAnsiTheme="majorHAnsi" w:hint="cs"/>
          <w:sz w:val="24"/>
          <w:szCs w:val="24"/>
          <w:rtl/>
          <w:lang w:val="en-US" w:bidi="ar-TN"/>
        </w:rPr>
        <w:t>×</w:t>
      </w:r>
      <w:proofErr w:type="spellEnd"/>
      <w:r w:rsidRPr="00F17DC9">
        <w:rPr>
          <w:rFonts w:asciiTheme="majorHAnsi" w:hAnsiTheme="majorHAnsi"/>
          <w:sz w:val="24"/>
          <w:szCs w:val="24"/>
        </w:rPr>
        <w:t>0,1</w:t>
      </w:r>
      <w:r w:rsidR="00430670">
        <w:rPr>
          <w:rFonts w:asciiTheme="majorHAnsi" w:hAnsiTheme="majorHAnsi"/>
          <w:sz w:val="24"/>
          <w:szCs w:val="24"/>
        </w:rPr>
        <w:t>2</w:t>
      </w:r>
      <w:r w:rsidRPr="00F17DC9">
        <w:rPr>
          <w:rFonts w:asciiTheme="majorHAnsi" w:hAnsiTheme="majorHAnsi"/>
          <w:sz w:val="24"/>
          <w:szCs w:val="24"/>
        </w:rPr>
        <w:t xml:space="preserve"> </w:t>
      </w:r>
      <w:r w:rsidRPr="00F17DC9">
        <w:rPr>
          <w:rFonts w:asciiTheme="majorHAnsi" w:hAnsiTheme="majorHAnsi"/>
          <w:sz w:val="24"/>
          <w:szCs w:val="24"/>
          <w:lang w:bidi="ar-TN"/>
        </w:rPr>
        <w:t xml:space="preserve">= </w:t>
      </w:r>
      <w:r w:rsidR="00430670">
        <w:rPr>
          <w:rFonts w:asciiTheme="majorHAnsi" w:hAnsiTheme="majorHAnsi"/>
          <w:sz w:val="24"/>
          <w:szCs w:val="24"/>
          <w:lang w:bidi="ar-TN"/>
        </w:rPr>
        <w:t>1</w:t>
      </w:r>
      <w:r>
        <w:rPr>
          <w:rFonts w:asciiTheme="majorHAnsi" w:hAnsiTheme="majorHAnsi"/>
          <w:sz w:val="24"/>
          <w:szCs w:val="24"/>
          <w:lang w:bidi="ar-TN"/>
        </w:rPr>
        <w:t>0</w:t>
      </w:r>
      <w:r w:rsidRPr="00F17DC9">
        <w:rPr>
          <w:rFonts w:asciiTheme="majorHAnsi" w:hAnsiTheme="majorHAnsi"/>
          <w:sz w:val="24"/>
          <w:szCs w:val="24"/>
          <w:lang w:bidi="ar-TN"/>
        </w:rPr>
        <w:t>.</w:t>
      </w:r>
      <w:r w:rsidR="00430670">
        <w:rPr>
          <w:rFonts w:asciiTheme="majorHAnsi" w:hAnsiTheme="majorHAnsi"/>
          <w:sz w:val="24"/>
          <w:szCs w:val="24"/>
          <w:lang w:bidi="ar-TN"/>
        </w:rPr>
        <w:t>8</w:t>
      </w:r>
      <w:r w:rsidRPr="00F17DC9">
        <w:rPr>
          <w:rFonts w:asciiTheme="majorHAnsi" w:hAnsiTheme="majorHAnsi"/>
          <w:sz w:val="24"/>
          <w:szCs w:val="24"/>
          <w:lang w:bidi="ar-TN"/>
        </w:rPr>
        <w:t>00,000 TND.</w:t>
      </w:r>
    </w:p>
    <w:p w:rsidR="003E5A36" w:rsidRDefault="003E5A36" w:rsidP="00AE33F4">
      <w:pPr>
        <w:spacing w:before="120" w:after="120" w:line="360" w:lineRule="auto"/>
        <w:jc w:val="both"/>
        <w:rPr>
          <w:rFonts w:asciiTheme="majorHAnsi" w:hAnsiTheme="majorHAnsi"/>
          <w:sz w:val="24"/>
          <w:szCs w:val="24"/>
        </w:rPr>
      </w:pPr>
      <w:r w:rsidRPr="00AA276B">
        <w:rPr>
          <w:rFonts w:asciiTheme="majorHAnsi" w:hAnsiTheme="majorHAnsi"/>
          <w:sz w:val="24"/>
          <w:szCs w:val="24"/>
        </w:rPr>
        <w:t xml:space="preserve">Cependant, </w:t>
      </w:r>
      <w:r w:rsidR="00430670">
        <w:rPr>
          <w:rFonts w:asciiTheme="majorHAnsi" w:hAnsiTheme="majorHAnsi"/>
          <w:sz w:val="24"/>
          <w:szCs w:val="24"/>
        </w:rPr>
        <w:t>l’architecte</w:t>
      </w:r>
      <w:r w:rsidRPr="00295461">
        <w:rPr>
          <w:rFonts w:asciiTheme="majorHAnsi" w:hAnsiTheme="majorHAnsi"/>
          <w:sz w:val="24"/>
          <w:szCs w:val="24"/>
        </w:rPr>
        <w:t xml:space="preserve"> </w:t>
      </w:r>
      <w:r w:rsidRPr="00AA276B">
        <w:rPr>
          <w:rFonts w:asciiTheme="majorHAnsi" w:hAnsiTheme="majorHAnsi"/>
          <w:sz w:val="24"/>
          <w:szCs w:val="24"/>
        </w:rPr>
        <w:t xml:space="preserve">peut toujours </w:t>
      </w:r>
      <w:r w:rsidRPr="001145F6">
        <w:rPr>
          <w:rFonts w:asciiTheme="majorHAnsi" w:hAnsiTheme="majorHAnsi"/>
          <w:b/>
          <w:bCs/>
          <w:i/>
          <w:iCs/>
          <w:sz w:val="24"/>
          <w:szCs w:val="24"/>
        </w:rPr>
        <w:t xml:space="preserve">opter </w:t>
      </w:r>
      <w:r w:rsidRPr="00AA276B">
        <w:rPr>
          <w:rFonts w:asciiTheme="majorHAnsi" w:hAnsiTheme="majorHAnsi"/>
          <w:sz w:val="24"/>
          <w:szCs w:val="24"/>
        </w:rPr>
        <w:t>pour son</w:t>
      </w:r>
      <w:r>
        <w:rPr>
          <w:rFonts w:asciiTheme="majorHAnsi" w:hAnsiTheme="majorHAnsi"/>
          <w:sz w:val="24"/>
          <w:szCs w:val="24"/>
        </w:rPr>
        <w:t xml:space="preserve"> </w:t>
      </w:r>
      <w:r w:rsidRPr="00AA276B">
        <w:rPr>
          <w:rFonts w:asciiTheme="majorHAnsi" w:hAnsiTheme="majorHAnsi"/>
          <w:sz w:val="24"/>
          <w:szCs w:val="24"/>
        </w:rPr>
        <w:t>assujettissement à la TVA selon le régime de droit commun. Dans ce cas</w:t>
      </w:r>
      <w:r>
        <w:rPr>
          <w:rFonts w:asciiTheme="majorHAnsi" w:hAnsiTheme="majorHAnsi"/>
          <w:sz w:val="24"/>
          <w:szCs w:val="24"/>
        </w:rPr>
        <w:t>,</w:t>
      </w:r>
      <w:r w:rsidRPr="00AA276B">
        <w:rPr>
          <w:rFonts w:asciiTheme="majorHAnsi" w:hAnsiTheme="majorHAnsi"/>
          <w:sz w:val="24"/>
          <w:szCs w:val="24"/>
        </w:rPr>
        <w:t xml:space="preserve"> </w:t>
      </w:r>
      <w:r w:rsidR="00AE33F4">
        <w:rPr>
          <w:rFonts w:asciiTheme="majorHAnsi" w:hAnsiTheme="majorHAnsi"/>
          <w:sz w:val="24"/>
          <w:szCs w:val="24"/>
        </w:rPr>
        <w:t>il</w:t>
      </w:r>
      <w:r>
        <w:rPr>
          <w:rFonts w:asciiTheme="majorHAnsi" w:hAnsiTheme="majorHAnsi"/>
          <w:sz w:val="24"/>
          <w:szCs w:val="24"/>
        </w:rPr>
        <w:t xml:space="preserve"> </w:t>
      </w:r>
      <w:r w:rsidR="00AE33F4" w:rsidRPr="00AA276B">
        <w:rPr>
          <w:rFonts w:asciiTheme="majorHAnsi" w:hAnsiTheme="majorHAnsi"/>
          <w:sz w:val="24"/>
          <w:szCs w:val="24"/>
        </w:rPr>
        <w:t>bénéficie</w:t>
      </w:r>
      <w:r w:rsidRPr="00AA276B">
        <w:rPr>
          <w:rFonts w:asciiTheme="majorHAnsi" w:hAnsiTheme="majorHAnsi"/>
          <w:sz w:val="24"/>
          <w:szCs w:val="24"/>
        </w:rPr>
        <w:t xml:space="preserve"> de la déduction de la TVA ayant grevé les marchandises et les services</w:t>
      </w:r>
      <w:r>
        <w:rPr>
          <w:rFonts w:asciiTheme="majorHAnsi" w:hAnsiTheme="majorHAnsi"/>
          <w:sz w:val="24"/>
          <w:szCs w:val="24"/>
        </w:rPr>
        <w:t xml:space="preserve"> </w:t>
      </w:r>
      <w:r w:rsidRPr="00AA276B">
        <w:rPr>
          <w:rFonts w:asciiTheme="majorHAnsi" w:hAnsiTheme="majorHAnsi"/>
          <w:sz w:val="24"/>
          <w:szCs w:val="24"/>
        </w:rPr>
        <w:t>nécessaires à la réalisation des opérations soumises à ladite taxe. En cas</w:t>
      </w:r>
      <w:r>
        <w:rPr>
          <w:rFonts w:asciiTheme="majorHAnsi" w:hAnsiTheme="majorHAnsi"/>
          <w:sz w:val="24"/>
          <w:szCs w:val="24"/>
        </w:rPr>
        <w:t xml:space="preserve"> </w:t>
      </w:r>
      <w:r w:rsidRPr="00AA276B">
        <w:rPr>
          <w:rFonts w:asciiTheme="majorHAnsi" w:hAnsiTheme="majorHAnsi"/>
          <w:sz w:val="24"/>
          <w:szCs w:val="24"/>
        </w:rPr>
        <w:t>d’apparition d’un crédit de taxe, ce dernier est remboursable conformément à la</w:t>
      </w:r>
      <w:r>
        <w:rPr>
          <w:rFonts w:asciiTheme="majorHAnsi" w:hAnsiTheme="majorHAnsi"/>
          <w:sz w:val="24"/>
          <w:szCs w:val="24"/>
        </w:rPr>
        <w:t xml:space="preserve"> </w:t>
      </w:r>
      <w:r w:rsidRPr="00AA276B">
        <w:rPr>
          <w:rFonts w:asciiTheme="majorHAnsi" w:hAnsiTheme="majorHAnsi"/>
          <w:sz w:val="24"/>
          <w:szCs w:val="24"/>
        </w:rPr>
        <w:t>législation en vigueur</w:t>
      </w:r>
      <w:r>
        <w:rPr>
          <w:rFonts w:asciiTheme="majorHAnsi" w:hAnsiTheme="majorHAnsi"/>
          <w:sz w:val="24"/>
          <w:szCs w:val="24"/>
        </w:rPr>
        <w:t>.</w:t>
      </w:r>
    </w:p>
    <w:p w:rsidR="000B3264" w:rsidRDefault="000B3264" w:rsidP="006B3C4F">
      <w:pPr>
        <w:spacing w:before="120" w:after="120" w:line="360" w:lineRule="auto"/>
        <w:jc w:val="both"/>
        <w:rPr>
          <w:rFonts w:asciiTheme="majorHAnsi" w:hAnsiTheme="majorHAnsi"/>
          <w:sz w:val="24"/>
          <w:szCs w:val="24"/>
        </w:rPr>
      </w:pPr>
    </w:p>
    <w:sectPr w:rsidR="000B3264" w:rsidSect="0013298E">
      <w:headerReference w:type="default" r:id="rId10"/>
      <w:footerReference w:type="default" r:id="rId11"/>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CD1" w:rsidRDefault="001E7CD1" w:rsidP="00A7596E">
      <w:pPr>
        <w:spacing w:after="0" w:line="240" w:lineRule="auto"/>
      </w:pPr>
      <w:r>
        <w:separator/>
      </w:r>
    </w:p>
  </w:endnote>
  <w:endnote w:type="continuationSeparator" w:id="0">
    <w:p w:rsidR="001E7CD1" w:rsidRDefault="001E7CD1" w:rsidP="00A759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MT">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5C2" w:rsidRDefault="00CE25C2" w:rsidP="00FD46C8">
    <w:pPr>
      <w:pStyle w:val="Pieddepage"/>
      <w:pBdr>
        <w:top w:val="thinThickSmallGap" w:sz="24" w:space="1" w:color="622423" w:themeColor="accent2" w:themeShade="7F"/>
      </w:pBdr>
      <w:rPr>
        <w:rFonts w:asciiTheme="majorHAnsi" w:hAnsiTheme="majorHAnsi"/>
      </w:rPr>
    </w:pPr>
    <w:r>
      <w:rPr>
        <w:rFonts w:asciiTheme="majorHAnsi" w:hAnsiTheme="majorHAnsi"/>
      </w:rPr>
      <w:t xml:space="preserve">Eléments du cours préparé par Mr SBAI Mounir, 2012-2013 </w:t>
    </w:r>
    <w:r>
      <w:rPr>
        <w:rFonts w:asciiTheme="majorHAnsi" w:hAnsiTheme="majorHAnsi"/>
      </w:rPr>
      <w:ptab w:relativeTo="margin" w:alignment="right" w:leader="none"/>
    </w:r>
    <w:r>
      <w:rPr>
        <w:rFonts w:asciiTheme="majorHAnsi" w:hAnsiTheme="majorHAnsi"/>
      </w:rPr>
      <w:t xml:space="preserve">Page </w:t>
    </w:r>
    <w:fldSimple w:instr=" PAGE   \* MERGEFORMAT ">
      <w:r w:rsidR="009C3307" w:rsidRPr="009C3307">
        <w:rPr>
          <w:rFonts w:asciiTheme="majorHAnsi" w:hAnsiTheme="majorHAnsi"/>
          <w:noProof/>
        </w:rPr>
        <w:t>10</w:t>
      </w:r>
    </w:fldSimple>
  </w:p>
  <w:p w:rsidR="00CE25C2" w:rsidRDefault="00CE25C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CD1" w:rsidRDefault="001E7CD1" w:rsidP="00A7596E">
      <w:pPr>
        <w:spacing w:after="0" w:line="240" w:lineRule="auto"/>
      </w:pPr>
      <w:r>
        <w:separator/>
      </w:r>
    </w:p>
  </w:footnote>
  <w:footnote w:type="continuationSeparator" w:id="0">
    <w:p w:rsidR="001E7CD1" w:rsidRDefault="001E7CD1" w:rsidP="00A759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143"/>
      <w:gridCol w:w="1159"/>
    </w:tblGrid>
    <w:tr w:rsidR="005E3855">
      <w:trPr>
        <w:trHeight w:val="288"/>
      </w:trPr>
      <w:sdt>
        <w:sdtPr>
          <w:alias w:val="Titre"/>
          <w:id w:val="77761602"/>
          <w:placeholder>
            <w:docPart w:val="9F0A30AF44BA48FB925AF61CF09F5B21"/>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5E3855" w:rsidRDefault="005E3855" w:rsidP="005E3855">
              <w:pPr>
                <w:pStyle w:val="En-tte"/>
                <w:jc w:val="right"/>
                <w:rPr>
                  <w:rFonts w:asciiTheme="majorHAnsi" w:eastAsiaTheme="majorEastAsia" w:hAnsiTheme="majorHAnsi" w:cstheme="majorBidi"/>
                  <w:sz w:val="36"/>
                  <w:szCs w:val="36"/>
                </w:rPr>
              </w:pPr>
              <w:r w:rsidRPr="005E3855">
                <w:t xml:space="preserve">Analyse des cas de fiscalité approfondie: </w:t>
              </w:r>
              <w:proofErr w:type="gramStart"/>
              <w:r w:rsidRPr="005E3855">
                <w:t>CES révision comptable</w:t>
              </w:r>
              <w:proofErr w:type="gramEnd"/>
              <w:r w:rsidRPr="005E3855">
                <w:t>, ISG Tunis</w:t>
              </w:r>
            </w:p>
          </w:tc>
        </w:sdtContent>
      </w:sdt>
      <w:sdt>
        <w:sdtPr>
          <w:rPr>
            <w:rFonts w:asciiTheme="majorHAnsi" w:eastAsiaTheme="majorEastAsia" w:hAnsiTheme="majorHAnsi" w:cstheme="majorBidi"/>
            <w:b/>
            <w:bCs/>
            <w:color w:val="4F81BD" w:themeColor="accent1"/>
            <w:sz w:val="32"/>
            <w:szCs w:val="32"/>
          </w:rPr>
          <w:alias w:val="Année"/>
          <w:id w:val="77761609"/>
          <w:placeholder>
            <w:docPart w:val="D3D779F67D8F45DF97AE1EAD24953D83"/>
          </w:placeholder>
          <w:dataBinding w:prefixMappings="xmlns:ns0='http://schemas.microsoft.com/office/2006/coverPageProps'" w:xpath="/ns0:CoverPageProperties[1]/ns0:PublishDate[1]" w:storeItemID="{55AF091B-3C7A-41E3-B477-F2FDAA23CFDA}"/>
          <w:date w:fullDate="2014-01-20T00:00:00Z">
            <w:dateFormat w:val="yyyy"/>
            <w:lid w:val="fr-FR"/>
            <w:storeMappedDataAs w:val="dateTime"/>
            <w:calendar w:val="gregorian"/>
          </w:date>
        </w:sdtPr>
        <w:sdtContent>
          <w:tc>
            <w:tcPr>
              <w:tcW w:w="1105" w:type="dxa"/>
            </w:tcPr>
            <w:p w:rsidR="005E3855" w:rsidRDefault="005E3855">
              <w:pPr>
                <w:pStyle w:val="En-tte"/>
                <w:rPr>
                  <w:rFonts w:asciiTheme="majorHAnsi" w:eastAsiaTheme="majorEastAsia" w:hAnsiTheme="majorHAnsi" w:cstheme="majorBidi"/>
                  <w:b/>
                  <w:bCs/>
                  <w:color w:val="4F81BD" w:themeColor="accent1"/>
                  <w:sz w:val="36"/>
                  <w:szCs w:val="36"/>
                </w:rPr>
              </w:pPr>
              <w:r w:rsidRPr="005E3855">
                <w:rPr>
                  <w:rFonts w:asciiTheme="majorHAnsi" w:eastAsiaTheme="majorEastAsia" w:hAnsiTheme="majorHAnsi" w:cstheme="majorBidi"/>
                  <w:b/>
                  <w:bCs/>
                  <w:color w:val="4F81BD" w:themeColor="accent1"/>
                  <w:sz w:val="32"/>
                  <w:szCs w:val="32"/>
                </w:rPr>
                <w:t>2014</w:t>
              </w:r>
            </w:p>
          </w:tc>
        </w:sdtContent>
      </w:sdt>
    </w:tr>
  </w:tbl>
  <w:p w:rsidR="00CE25C2" w:rsidRDefault="00CE25C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00A0"/>
    <w:multiLevelType w:val="hybridMultilevel"/>
    <w:tmpl w:val="9340820E"/>
    <w:lvl w:ilvl="0" w:tplc="A6A6D53A">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0A9A7164"/>
    <w:multiLevelType w:val="hybridMultilevel"/>
    <w:tmpl w:val="B90452AE"/>
    <w:lvl w:ilvl="0" w:tplc="DF9E525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nsid w:val="0D855B25"/>
    <w:multiLevelType w:val="hybridMultilevel"/>
    <w:tmpl w:val="AB50AD10"/>
    <w:lvl w:ilvl="0" w:tplc="CA8CF1D2">
      <w:numFmt w:val="bullet"/>
      <w:lvlText w:val="-"/>
      <w:lvlJc w:val="left"/>
      <w:pPr>
        <w:ind w:left="720" w:hanging="360"/>
      </w:pPr>
      <w:rPr>
        <w:rFonts w:ascii="Cambria" w:eastAsiaTheme="minorHAnsi" w:hAnsi="Cambria" w:cstheme="minorBidi" w:hint="default"/>
        <w:b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BE1B2A"/>
    <w:multiLevelType w:val="hybridMultilevel"/>
    <w:tmpl w:val="8EDAB002"/>
    <w:lvl w:ilvl="0" w:tplc="EE2A8462">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4945A7"/>
    <w:multiLevelType w:val="hybridMultilevel"/>
    <w:tmpl w:val="578CF458"/>
    <w:lvl w:ilvl="0" w:tplc="57305A30">
      <w:start w:val="1"/>
      <w:numFmt w:val="upperLetter"/>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5">
    <w:nsid w:val="15D6546B"/>
    <w:multiLevelType w:val="hybridMultilevel"/>
    <w:tmpl w:val="9AE251C2"/>
    <w:lvl w:ilvl="0" w:tplc="0610F4B0">
      <w:start w:val="1"/>
      <w:numFmt w:val="upperRoman"/>
      <w:lvlText w:val="%1-"/>
      <w:lvlJc w:val="left"/>
      <w:pPr>
        <w:ind w:left="143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7803DFC"/>
    <w:multiLevelType w:val="hybridMultilevel"/>
    <w:tmpl w:val="3612BE64"/>
    <w:lvl w:ilvl="0" w:tplc="79F676A2">
      <w:start w:val="1"/>
      <w:numFmt w:val="upperRoman"/>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7D56C0C"/>
    <w:multiLevelType w:val="hybridMultilevel"/>
    <w:tmpl w:val="6632F182"/>
    <w:lvl w:ilvl="0" w:tplc="D1BCABB2">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F835F1"/>
    <w:multiLevelType w:val="hybridMultilevel"/>
    <w:tmpl w:val="A16C3E44"/>
    <w:lvl w:ilvl="0" w:tplc="F9EC7C5E">
      <w:start w:val="1"/>
      <w:numFmt w:val="decimal"/>
      <w:lvlText w:val="%1-"/>
      <w:lvlJc w:val="left"/>
      <w:pPr>
        <w:ind w:left="50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nsid w:val="251550D5"/>
    <w:multiLevelType w:val="hybridMultilevel"/>
    <w:tmpl w:val="3CC6F3D0"/>
    <w:lvl w:ilvl="0" w:tplc="F59E7786">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92B0F08"/>
    <w:multiLevelType w:val="hybridMultilevel"/>
    <w:tmpl w:val="E7DC63F0"/>
    <w:lvl w:ilvl="0" w:tplc="01D6E732">
      <w:start w:val="2"/>
      <w:numFmt w:val="bullet"/>
      <w:lvlText w:val="-"/>
      <w:lvlJc w:val="left"/>
      <w:pPr>
        <w:ind w:left="720" w:hanging="360"/>
      </w:pPr>
      <w:rPr>
        <w:rFonts w:ascii="Calibri" w:eastAsiaTheme="minorHAnsi" w:hAnsi="Calibri"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9380A6F"/>
    <w:multiLevelType w:val="hybridMultilevel"/>
    <w:tmpl w:val="87C4ED9A"/>
    <w:lvl w:ilvl="0" w:tplc="EA0A314C">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2">
    <w:nsid w:val="2D1F49DA"/>
    <w:multiLevelType w:val="hybridMultilevel"/>
    <w:tmpl w:val="F2649576"/>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3">
    <w:nsid w:val="301845BB"/>
    <w:multiLevelType w:val="hybridMultilevel"/>
    <w:tmpl w:val="02EA2C00"/>
    <w:lvl w:ilvl="0" w:tplc="80B06330">
      <w:start w:val="1"/>
      <w:numFmt w:val="bullet"/>
      <w:lvlText w:val=""/>
      <w:lvlJc w:val="left"/>
      <w:pPr>
        <w:ind w:left="1440" w:hanging="360"/>
      </w:pPr>
      <w:rPr>
        <w:rFonts w:ascii="Symbol" w:hAnsi="Symbol" w:hint="default"/>
        <w:sz w:val="20"/>
        <w:szCs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30F5528F"/>
    <w:multiLevelType w:val="hybridMultilevel"/>
    <w:tmpl w:val="6538B49A"/>
    <w:lvl w:ilvl="0" w:tplc="EB4C7288">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7171D82"/>
    <w:multiLevelType w:val="hybridMultilevel"/>
    <w:tmpl w:val="EEE43BC0"/>
    <w:lvl w:ilvl="0" w:tplc="BD54EB9C">
      <w:start w:val="1"/>
      <w:numFmt w:val="bullet"/>
      <w:lvlText w:val=""/>
      <w:lvlJc w:val="left"/>
      <w:pPr>
        <w:ind w:left="720" w:hanging="360"/>
      </w:pPr>
      <w:rPr>
        <w:rFonts w:ascii="Wingdings" w:hAnsi="Wingdings"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9FF1DAA"/>
    <w:multiLevelType w:val="hybridMultilevel"/>
    <w:tmpl w:val="E4B0B700"/>
    <w:lvl w:ilvl="0" w:tplc="20FE268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C9B4C98"/>
    <w:multiLevelType w:val="hybridMultilevel"/>
    <w:tmpl w:val="7F8CB92A"/>
    <w:lvl w:ilvl="0" w:tplc="24E02B2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2E75968"/>
    <w:multiLevelType w:val="hybridMultilevel"/>
    <w:tmpl w:val="A054540C"/>
    <w:lvl w:ilvl="0" w:tplc="DFBE1C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53F53A8"/>
    <w:multiLevelType w:val="hybridMultilevel"/>
    <w:tmpl w:val="6D585064"/>
    <w:lvl w:ilvl="0" w:tplc="7104071A">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BDE3988"/>
    <w:multiLevelType w:val="hybridMultilevel"/>
    <w:tmpl w:val="4C329CAC"/>
    <w:lvl w:ilvl="0" w:tplc="F4B68344">
      <w:start w:val="1"/>
      <w:numFmt w:val="upperRoman"/>
      <w:lvlText w:val="%1-"/>
      <w:lvlJc w:val="left"/>
      <w:pPr>
        <w:ind w:left="2564" w:hanging="720"/>
      </w:pPr>
      <w:rPr>
        <w:rFonts w:hint="default"/>
        <w:b/>
        <w:bCs/>
      </w:rPr>
    </w:lvl>
    <w:lvl w:ilvl="1" w:tplc="040C0019" w:tentative="1">
      <w:start w:val="1"/>
      <w:numFmt w:val="lowerLetter"/>
      <w:lvlText w:val="%2."/>
      <w:lvlJc w:val="left"/>
      <w:pPr>
        <w:ind w:left="2924" w:hanging="360"/>
      </w:pPr>
    </w:lvl>
    <w:lvl w:ilvl="2" w:tplc="040C001B" w:tentative="1">
      <w:start w:val="1"/>
      <w:numFmt w:val="lowerRoman"/>
      <w:lvlText w:val="%3."/>
      <w:lvlJc w:val="right"/>
      <w:pPr>
        <w:ind w:left="3644" w:hanging="180"/>
      </w:pPr>
    </w:lvl>
    <w:lvl w:ilvl="3" w:tplc="040C000F" w:tentative="1">
      <w:start w:val="1"/>
      <w:numFmt w:val="decimal"/>
      <w:lvlText w:val="%4."/>
      <w:lvlJc w:val="left"/>
      <w:pPr>
        <w:ind w:left="4364" w:hanging="360"/>
      </w:pPr>
    </w:lvl>
    <w:lvl w:ilvl="4" w:tplc="040C0019" w:tentative="1">
      <w:start w:val="1"/>
      <w:numFmt w:val="lowerLetter"/>
      <w:lvlText w:val="%5."/>
      <w:lvlJc w:val="left"/>
      <w:pPr>
        <w:ind w:left="5084" w:hanging="360"/>
      </w:pPr>
    </w:lvl>
    <w:lvl w:ilvl="5" w:tplc="040C001B" w:tentative="1">
      <w:start w:val="1"/>
      <w:numFmt w:val="lowerRoman"/>
      <w:lvlText w:val="%6."/>
      <w:lvlJc w:val="right"/>
      <w:pPr>
        <w:ind w:left="5804" w:hanging="180"/>
      </w:pPr>
    </w:lvl>
    <w:lvl w:ilvl="6" w:tplc="040C000F" w:tentative="1">
      <w:start w:val="1"/>
      <w:numFmt w:val="decimal"/>
      <w:lvlText w:val="%7."/>
      <w:lvlJc w:val="left"/>
      <w:pPr>
        <w:ind w:left="6524" w:hanging="360"/>
      </w:pPr>
    </w:lvl>
    <w:lvl w:ilvl="7" w:tplc="040C0019" w:tentative="1">
      <w:start w:val="1"/>
      <w:numFmt w:val="lowerLetter"/>
      <w:lvlText w:val="%8."/>
      <w:lvlJc w:val="left"/>
      <w:pPr>
        <w:ind w:left="7244" w:hanging="360"/>
      </w:pPr>
    </w:lvl>
    <w:lvl w:ilvl="8" w:tplc="040C001B" w:tentative="1">
      <w:start w:val="1"/>
      <w:numFmt w:val="lowerRoman"/>
      <w:lvlText w:val="%9."/>
      <w:lvlJc w:val="right"/>
      <w:pPr>
        <w:ind w:left="7964" w:hanging="180"/>
      </w:pPr>
    </w:lvl>
  </w:abstractNum>
  <w:abstractNum w:abstractNumId="21">
    <w:nsid w:val="4C971155"/>
    <w:multiLevelType w:val="hybridMultilevel"/>
    <w:tmpl w:val="134E13E2"/>
    <w:lvl w:ilvl="0" w:tplc="27B80244">
      <w:start w:val="1"/>
      <w:numFmt w:val="bullet"/>
      <w:lvlText w:val=""/>
      <w:lvlJc w:val="left"/>
      <w:pPr>
        <w:ind w:left="720" w:hanging="360"/>
      </w:pPr>
      <w:rPr>
        <w:rFonts w:ascii="Wingdings" w:hAnsi="Wingdings"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0495593"/>
    <w:multiLevelType w:val="hybridMultilevel"/>
    <w:tmpl w:val="75E075F6"/>
    <w:lvl w:ilvl="0" w:tplc="81CCF2D4">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2AF3834"/>
    <w:multiLevelType w:val="hybridMultilevel"/>
    <w:tmpl w:val="9588F700"/>
    <w:lvl w:ilvl="0" w:tplc="5B7062E2">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42B2A39"/>
    <w:multiLevelType w:val="hybridMultilevel"/>
    <w:tmpl w:val="2AA0B3D6"/>
    <w:lvl w:ilvl="0" w:tplc="E01E5D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76D425E"/>
    <w:multiLevelType w:val="hybridMultilevel"/>
    <w:tmpl w:val="E0EC5DC6"/>
    <w:lvl w:ilvl="0" w:tplc="9044ED4A">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9542C2D"/>
    <w:multiLevelType w:val="hybridMultilevel"/>
    <w:tmpl w:val="B90452AE"/>
    <w:lvl w:ilvl="0" w:tplc="DF9E525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7">
    <w:nsid w:val="5A621D3E"/>
    <w:multiLevelType w:val="hybridMultilevel"/>
    <w:tmpl w:val="5170A0B0"/>
    <w:lvl w:ilvl="0" w:tplc="93A4A910">
      <w:start w:val="2"/>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BB507CA"/>
    <w:multiLevelType w:val="hybridMultilevel"/>
    <w:tmpl w:val="9AE251C2"/>
    <w:lvl w:ilvl="0" w:tplc="0610F4B0">
      <w:start w:val="1"/>
      <w:numFmt w:val="upperRoman"/>
      <w:lvlText w:val="%1-"/>
      <w:lvlJc w:val="left"/>
      <w:pPr>
        <w:ind w:left="143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C255131"/>
    <w:multiLevelType w:val="hybridMultilevel"/>
    <w:tmpl w:val="A7CA97C4"/>
    <w:lvl w:ilvl="0" w:tplc="9EA473D4">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D0550E3"/>
    <w:multiLevelType w:val="hybridMultilevel"/>
    <w:tmpl w:val="E4B0B700"/>
    <w:lvl w:ilvl="0" w:tplc="20FE268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D5561E0"/>
    <w:multiLevelType w:val="hybridMultilevel"/>
    <w:tmpl w:val="A054540C"/>
    <w:lvl w:ilvl="0" w:tplc="DFBE1C86">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2">
    <w:nsid w:val="62702270"/>
    <w:multiLevelType w:val="hybridMultilevel"/>
    <w:tmpl w:val="5B683C46"/>
    <w:lvl w:ilvl="0" w:tplc="2C4A715C">
      <w:numFmt w:val="bullet"/>
      <w:lvlText w:val="-"/>
      <w:lvlJc w:val="left"/>
      <w:pPr>
        <w:ind w:left="1440" w:hanging="360"/>
      </w:pPr>
      <w:rPr>
        <w:rFonts w:ascii="Cambria" w:eastAsiaTheme="minorHAnsi" w:hAnsi="Cambria" w:cstheme="minorBidi" w:hint="default"/>
        <w:b/>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nsid w:val="62DE2A10"/>
    <w:multiLevelType w:val="hybridMultilevel"/>
    <w:tmpl w:val="05CA5A04"/>
    <w:lvl w:ilvl="0" w:tplc="040C0001">
      <w:start w:val="1"/>
      <w:numFmt w:val="bullet"/>
      <w:lvlText w:val=""/>
      <w:lvlJc w:val="left"/>
      <w:pPr>
        <w:ind w:left="720" w:hanging="360"/>
      </w:pPr>
      <w:rPr>
        <w:rFonts w:ascii="Symbol" w:hAnsi="Symbol" w:hint="default"/>
        <w:b/>
        <w:bCs/>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32E32EF"/>
    <w:multiLevelType w:val="hybridMultilevel"/>
    <w:tmpl w:val="70364EB8"/>
    <w:lvl w:ilvl="0" w:tplc="62689D90">
      <w:start w:val="1"/>
      <w:numFmt w:val="bullet"/>
      <w:lvlText w:val=""/>
      <w:lvlJc w:val="left"/>
      <w:pPr>
        <w:ind w:left="720" w:hanging="360"/>
      </w:pPr>
      <w:rPr>
        <w:rFonts w:ascii="Symbol" w:hAnsi="Symbol" w:hint="default"/>
        <w:b/>
        <w:bCs/>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35F0977"/>
    <w:multiLevelType w:val="hybridMultilevel"/>
    <w:tmpl w:val="631A5B48"/>
    <w:lvl w:ilvl="0" w:tplc="D7EC3BEE">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6D371A0"/>
    <w:multiLevelType w:val="hybridMultilevel"/>
    <w:tmpl w:val="41AA9864"/>
    <w:lvl w:ilvl="0" w:tplc="E46A6EB6">
      <w:start w:val="1"/>
      <w:numFmt w:val="bullet"/>
      <w:lvlText w:val=""/>
      <w:lvlJc w:val="left"/>
      <w:pPr>
        <w:ind w:left="720" w:hanging="360"/>
      </w:pPr>
      <w:rPr>
        <w:rFonts w:ascii="Wingdings" w:hAnsi="Wingdings"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C913C12"/>
    <w:multiLevelType w:val="hybridMultilevel"/>
    <w:tmpl w:val="364A3F88"/>
    <w:lvl w:ilvl="0" w:tplc="AC026A74">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0A539C3"/>
    <w:multiLevelType w:val="hybridMultilevel"/>
    <w:tmpl w:val="6FA80532"/>
    <w:lvl w:ilvl="0" w:tplc="D1BCABB2">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8E95F29"/>
    <w:multiLevelType w:val="hybridMultilevel"/>
    <w:tmpl w:val="F67209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A2C300C"/>
    <w:multiLevelType w:val="hybridMultilevel"/>
    <w:tmpl w:val="67663A8C"/>
    <w:lvl w:ilvl="0" w:tplc="9EEA1108">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BAC530D"/>
    <w:multiLevelType w:val="hybridMultilevel"/>
    <w:tmpl w:val="0A4C53A2"/>
    <w:lvl w:ilvl="0" w:tplc="66EA80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CEA7187"/>
    <w:multiLevelType w:val="hybridMultilevel"/>
    <w:tmpl w:val="3D44D8FE"/>
    <w:lvl w:ilvl="0" w:tplc="279E3E28">
      <w:start w:val="1"/>
      <w:numFmt w:val="bullet"/>
      <w:lvlText w:val=""/>
      <w:lvlJc w:val="left"/>
      <w:pPr>
        <w:ind w:left="720" w:hanging="360"/>
      </w:pPr>
      <w:rPr>
        <w:rFonts w:ascii="Symbol" w:hAnsi="Symbol" w:hint="default"/>
        <w:b/>
        <w:bCs w:val="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3"/>
  </w:num>
  <w:num w:numId="3">
    <w:abstractNumId w:val="18"/>
  </w:num>
  <w:num w:numId="4">
    <w:abstractNumId w:val="36"/>
  </w:num>
  <w:num w:numId="5">
    <w:abstractNumId w:val="31"/>
  </w:num>
  <w:num w:numId="6">
    <w:abstractNumId w:val="2"/>
  </w:num>
  <w:num w:numId="7">
    <w:abstractNumId w:val="22"/>
  </w:num>
  <w:num w:numId="8">
    <w:abstractNumId w:val="25"/>
  </w:num>
  <w:num w:numId="9">
    <w:abstractNumId w:val="26"/>
  </w:num>
  <w:num w:numId="10">
    <w:abstractNumId w:val="35"/>
  </w:num>
  <w:num w:numId="11">
    <w:abstractNumId w:val="30"/>
  </w:num>
  <w:num w:numId="12">
    <w:abstractNumId w:val="19"/>
  </w:num>
  <w:num w:numId="13">
    <w:abstractNumId w:val="16"/>
  </w:num>
  <w:num w:numId="14">
    <w:abstractNumId w:val="8"/>
  </w:num>
  <w:num w:numId="15">
    <w:abstractNumId w:val="0"/>
  </w:num>
  <w:num w:numId="16">
    <w:abstractNumId w:val="15"/>
  </w:num>
  <w:num w:numId="17">
    <w:abstractNumId w:val="11"/>
  </w:num>
  <w:num w:numId="18">
    <w:abstractNumId w:val="4"/>
  </w:num>
  <w:num w:numId="19">
    <w:abstractNumId w:val="21"/>
  </w:num>
  <w:num w:numId="20">
    <w:abstractNumId w:val="10"/>
  </w:num>
  <w:num w:numId="21">
    <w:abstractNumId w:val="29"/>
  </w:num>
  <w:num w:numId="22">
    <w:abstractNumId w:val="12"/>
  </w:num>
  <w:num w:numId="23">
    <w:abstractNumId w:val="1"/>
  </w:num>
  <w:num w:numId="24">
    <w:abstractNumId w:val="42"/>
  </w:num>
  <w:num w:numId="25">
    <w:abstractNumId w:val="39"/>
  </w:num>
  <w:num w:numId="26">
    <w:abstractNumId w:val="41"/>
  </w:num>
  <w:num w:numId="27">
    <w:abstractNumId w:val="9"/>
  </w:num>
  <w:num w:numId="28">
    <w:abstractNumId w:val="23"/>
  </w:num>
  <w:num w:numId="29">
    <w:abstractNumId w:val="5"/>
  </w:num>
  <w:num w:numId="30">
    <w:abstractNumId w:val="17"/>
  </w:num>
  <w:num w:numId="31">
    <w:abstractNumId w:val="14"/>
  </w:num>
  <w:num w:numId="32">
    <w:abstractNumId w:val="7"/>
  </w:num>
  <w:num w:numId="33">
    <w:abstractNumId w:val="38"/>
  </w:num>
  <w:num w:numId="34">
    <w:abstractNumId w:val="40"/>
  </w:num>
  <w:num w:numId="35">
    <w:abstractNumId w:val="34"/>
  </w:num>
  <w:num w:numId="36">
    <w:abstractNumId w:val="33"/>
  </w:num>
  <w:num w:numId="37">
    <w:abstractNumId w:val="24"/>
  </w:num>
  <w:num w:numId="38">
    <w:abstractNumId w:val="20"/>
  </w:num>
  <w:num w:numId="39">
    <w:abstractNumId w:val="6"/>
  </w:num>
  <w:num w:numId="40">
    <w:abstractNumId w:val="37"/>
  </w:num>
  <w:num w:numId="41">
    <w:abstractNumId w:val="27"/>
  </w:num>
  <w:num w:numId="42">
    <w:abstractNumId w:val="13"/>
  </w:num>
  <w:num w:numId="4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FE0696"/>
    <w:rsid w:val="0000036C"/>
    <w:rsid w:val="00002B64"/>
    <w:rsid w:val="00003C91"/>
    <w:rsid w:val="0000459B"/>
    <w:rsid w:val="00004F26"/>
    <w:rsid w:val="00012CC4"/>
    <w:rsid w:val="000132A4"/>
    <w:rsid w:val="00017AFD"/>
    <w:rsid w:val="00024D78"/>
    <w:rsid w:val="000339A6"/>
    <w:rsid w:val="00045826"/>
    <w:rsid w:val="00053EFD"/>
    <w:rsid w:val="00055B54"/>
    <w:rsid w:val="00055CE8"/>
    <w:rsid w:val="00060362"/>
    <w:rsid w:val="00073FF9"/>
    <w:rsid w:val="00082D40"/>
    <w:rsid w:val="000865EC"/>
    <w:rsid w:val="00087089"/>
    <w:rsid w:val="0009033B"/>
    <w:rsid w:val="000A4682"/>
    <w:rsid w:val="000B07C2"/>
    <w:rsid w:val="000B3264"/>
    <w:rsid w:val="000C225B"/>
    <w:rsid w:val="000D184F"/>
    <w:rsid w:val="000D456F"/>
    <w:rsid w:val="000E0435"/>
    <w:rsid w:val="000E6444"/>
    <w:rsid w:val="000F03E9"/>
    <w:rsid w:val="000F60B7"/>
    <w:rsid w:val="00107DF1"/>
    <w:rsid w:val="001145F6"/>
    <w:rsid w:val="001174E4"/>
    <w:rsid w:val="00121EC9"/>
    <w:rsid w:val="001243C7"/>
    <w:rsid w:val="0013220D"/>
    <w:rsid w:val="0013298E"/>
    <w:rsid w:val="001353DF"/>
    <w:rsid w:val="00143C8C"/>
    <w:rsid w:val="00156070"/>
    <w:rsid w:val="00164E89"/>
    <w:rsid w:val="00173C6C"/>
    <w:rsid w:val="00183D33"/>
    <w:rsid w:val="001877A6"/>
    <w:rsid w:val="00196714"/>
    <w:rsid w:val="001B2040"/>
    <w:rsid w:val="001B28F0"/>
    <w:rsid w:val="001B2CC9"/>
    <w:rsid w:val="001B7009"/>
    <w:rsid w:val="001C1419"/>
    <w:rsid w:val="001D4B79"/>
    <w:rsid w:val="001D7469"/>
    <w:rsid w:val="001D7A76"/>
    <w:rsid w:val="001E5FAE"/>
    <w:rsid w:val="001E7CD1"/>
    <w:rsid w:val="001E7CF1"/>
    <w:rsid w:val="001F42EA"/>
    <w:rsid w:val="001F6878"/>
    <w:rsid w:val="00200312"/>
    <w:rsid w:val="0020083C"/>
    <w:rsid w:val="002059B4"/>
    <w:rsid w:val="002105CA"/>
    <w:rsid w:val="002146FB"/>
    <w:rsid w:val="002200EE"/>
    <w:rsid w:val="00220D50"/>
    <w:rsid w:val="00224CCC"/>
    <w:rsid w:val="002250F6"/>
    <w:rsid w:val="00230FDD"/>
    <w:rsid w:val="0023307B"/>
    <w:rsid w:val="00234F6E"/>
    <w:rsid w:val="002360F7"/>
    <w:rsid w:val="00242862"/>
    <w:rsid w:val="00243507"/>
    <w:rsid w:val="0024373F"/>
    <w:rsid w:val="00244C44"/>
    <w:rsid w:val="002459E8"/>
    <w:rsid w:val="00247B29"/>
    <w:rsid w:val="0025071C"/>
    <w:rsid w:val="00257CFE"/>
    <w:rsid w:val="002613FD"/>
    <w:rsid w:val="00263573"/>
    <w:rsid w:val="002644C4"/>
    <w:rsid w:val="00264A56"/>
    <w:rsid w:val="00273852"/>
    <w:rsid w:val="00274FB3"/>
    <w:rsid w:val="002757BF"/>
    <w:rsid w:val="00290324"/>
    <w:rsid w:val="00291A95"/>
    <w:rsid w:val="00295461"/>
    <w:rsid w:val="00297AFE"/>
    <w:rsid w:val="002A0288"/>
    <w:rsid w:val="002B0B4F"/>
    <w:rsid w:val="002B2EC2"/>
    <w:rsid w:val="002C4803"/>
    <w:rsid w:val="002D435C"/>
    <w:rsid w:val="002D4935"/>
    <w:rsid w:val="002F373A"/>
    <w:rsid w:val="002F5C01"/>
    <w:rsid w:val="002F750A"/>
    <w:rsid w:val="00302645"/>
    <w:rsid w:val="0031228C"/>
    <w:rsid w:val="00317106"/>
    <w:rsid w:val="003254B2"/>
    <w:rsid w:val="003370A9"/>
    <w:rsid w:val="00340323"/>
    <w:rsid w:val="00354407"/>
    <w:rsid w:val="00356B3A"/>
    <w:rsid w:val="003675F1"/>
    <w:rsid w:val="003704E8"/>
    <w:rsid w:val="00397137"/>
    <w:rsid w:val="003A25CA"/>
    <w:rsid w:val="003A3292"/>
    <w:rsid w:val="003B73A3"/>
    <w:rsid w:val="003C3782"/>
    <w:rsid w:val="003C6204"/>
    <w:rsid w:val="003E03E0"/>
    <w:rsid w:val="003E08DD"/>
    <w:rsid w:val="003E5A36"/>
    <w:rsid w:val="003F556D"/>
    <w:rsid w:val="003F74F5"/>
    <w:rsid w:val="004038F6"/>
    <w:rsid w:val="00404907"/>
    <w:rsid w:val="004053A4"/>
    <w:rsid w:val="00406E67"/>
    <w:rsid w:val="004078D1"/>
    <w:rsid w:val="00411279"/>
    <w:rsid w:val="00420DFE"/>
    <w:rsid w:val="00421F75"/>
    <w:rsid w:val="0042436F"/>
    <w:rsid w:val="0042529E"/>
    <w:rsid w:val="00430670"/>
    <w:rsid w:val="004349DC"/>
    <w:rsid w:val="00434E61"/>
    <w:rsid w:val="004451F6"/>
    <w:rsid w:val="004608CC"/>
    <w:rsid w:val="00462D66"/>
    <w:rsid w:val="00472C5F"/>
    <w:rsid w:val="004826A2"/>
    <w:rsid w:val="00493E4A"/>
    <w:rsid w:val="00494C45"/>
    <w:rsid w:val="004A6416"/>
    <w:rsid w:val="004B6F5A"/>
    <w:rsid w:val="004C23E6"/>
    <w:rsid w:val="004C5069"/>
    <w:rsid w:val="004D19D1"/>
    <w:rsid w:val="004E398D"/>
    <w:rsid w:val="004F4EA9"/>
    <w:rsid w:val="004F6D6C"/>
    <w:rsid w:val="00521242"/>
    <w:rsid w:val="00521502"/>
    <w:rsid w:val="00522980"/>
    <w:rsid w:val="0052374E"/>
    <w:rsid w:val="00525290"/>
    <w:rsid w:val="005354EA"/>
    <w:rsid w:val="005446C9"/>
    <w:rsid w:val="00550900"/>
    <w:rsid w:val="00553731"/>
    <w:rsid w:val="00561329"/>
    <w:rsid w:val="00565F58"/>
    <w:rsid w:val="005735B5"/>
    <w:rsid w:val="00575AD3"/>
    <w:rsid w:val="00583BEB"/>
    <w:rsid w:val="00584D05"/>
    <w:rsid w:val="005A0C2B"/>
    <w:rsid w:val="005A6378"/>
    <w:rsid w:val="005A6CC8"/>
    <w:rsid w:val="005B353A"/>
    <w:rsid w:val="005B4A81"/>
    <w:rsid w:val="005B62DF"/>
    <w:rsid w:val="005D47B9"/>
    <w:rsid w:val="005D5DBC"/>
    <w:rsid w:val="005D6D06"/>
    <w:rsid w:val="005D7AA4"/>
    <w:rsid w:val="005E3855"/>
    <w:rsid w:val="005E5F62"/>
    <w:rsid w:val="005E60DF"/>
    <w:rsid w:val="006116CF"/>
    <w:rsid w:val="00617FA8"/>
    <w:rsid w:val="00621EAB"/>
    <w:rsid w:val="00622716"/>
    <w:rsid w:val="00634228"/>
    <w:rsid w:val="0063730C"/>
    <w:rsid w:val="0064156F"/>
    <w:rsid w:val="006470D0"/>
    <w:rsid w:val="0065492D"/>
    <w:rsid w:val="006550EB"/>
    <w:rsid w:val="00660C25"/>
    <w:rsid w:val="00671A21"/>
    <w:rsid w:val="00677A5C"/>
    <w:rsid w:val="00682BAF"/>
    <w:rsid w:val="006838A0"/>
    <w:rsid w:val="00687271"/>
    <w:rsid w:val="00695A0F"/>
    <w:rsid w:val="006B1175"/>
    <w:rsid w:val="006B3C4F"/>
    <w:rsid w:val="006B42CE"/>
    <w:rsid w:val="006B48B2"/>
    <w:rsid w:val="006B7704"/>
    <w:rsid w:val="006C3F72"/>
    <w:rsid w:val="006C4B1A"/>
    <w:rsid w:val="006C5C0F"/>
    <w:rsid w:val="006E0FF6"/>
    <w:rsid w:val="006E4133"/>
    <w:rsid w:val="006E4A01"/>
    <w:rsid w:val="006E4AEB"/>
    <w:rsid w:val="006E5C1F"/>
    <w:rsid w:val="006E7435"/>
    <w:rsid w:val="006F2876"/>
    <w:rsid w:val="007039A7"/>
    <w:rsid w:val="007163F4"/>
    <w:rsid w:val="00733BD8"/>
    <w:rsid w:val="00737399"/>
    <w:rsid w:val="00737987"/>
    <w:rsid w:val="0074394F"/>
    <w:rsid w:val="007440BB"/>
    <w:rsid w:val="007662E0"/>
    <w:rsid w:val="0077196A"/>
    <w:rsid w:val="00786177"/>
    <w:rsid w:val="00793525"/>
    <w:rsid w:val="007A5B63"/>
    <w:rsid w:val="007C273E"/>
    <w:rsid w:val="007C5705"/>
    <w:rsid w:val="007D1E87"/>
    <w:rsid w:val="007D3DD8"/>
    <w:rsid w:val="007F21DC"/>
    <w:rsid w:val="00804BB3"/>
    <w:rsid w:val="008054D6"/>
    <w:rsid w:val="0080588F"/>
    <w:rsid w:val="0080633F"/>
    <w:rsid w:val="008134A5"/>
    <w:rsid w:val="0082256B"/>
    <w:rsid w:val="0082474F"/>
    <w:rsid w:val="008311EC"/>
    <w:rsid w:val="008315FB"/>
    <w:rsid w:val="008332CC"/>
    <w:rsid w:val="0083389D"/>
    <w:rsid w:val="008420E5"/>
    <w:rsid w:val="008505FD"/>
    <w:rsid w:val="00860C93"/>
    <w:rsid w:val="008728CA"/>
    <w:rsid w:val="00891368"/>
    <w:rsid w:val="008937DE"/>
    <w:rsid w:val="008958FF"/>
    <w:rsid w:val="00896BC6"/>
    <w:rsid w:val="0089793F"/>
    <w:rsid w:val="008C0A48"/>
    <w:rsid w:val="008C3B62"/>
    <w:rsid w:val="008D7A49"/>
    <w:rsid w:val="008E47C4"/>
    <w:rsid w:val="008F1E75"/>
    <w:rsid w:val="008F4CE2"/>
    <w:rsid w:val="008F5C66"/>
    <w:rsid w:val="009018F7"/>
    <w:rsid w:val="009131DA"/>
    <w:rsid w:val="009135DE"/>
    <w:rsid w:val="00916BAB"/>
    <w:rsid w:val="00925C01"/>
    <w:rsid w:val="0093150D"/>
    <w:rsid w:val="00934CDE"/>
    <w:rsid w:val="0094666D"/>
    <w:rsid w:val="00946BC3"/>
    <w:rsid w:val="00954592"/>
    <w:rsid w:val="009611A3"/>
    <w:rsid w:val="009631F4"/>
    <w:rsid w:val="00964FAB"/>
    <w:rsid w:val="00965D64"/>
    <w:rsid w:val="00976132"/>
    <w:rsid w:val="00980E3A"/>
    <w:rsid w:val="0098283F"/>
    <w:rsid w:val="009933B7"/>
    <w:rsid w:val="009A53A2"/>
    <w:rsid w:val="009A5ED5"/>
    <w:rsid w:val="009B5AB8"/>
    <w:rsid w:val="009B5D39"/>
    <w:rsid w:val="009B65AE"/>
    <w:rsid w:val="009C1785"/>
    <w:rsid w:val="009C1827"/>
    <w:rsid w:val="009C3307"/>
    <w:rsid w:val="009C500B"/>
    <w:rsid w:val="009C5B97"/>
    <w:rsid w:val="009D391B"/>
    <w:rsid w:val="009E1F3F"/>
    <w:rsid w:val="009E45A9"/>
    <w:rsid w:val="009F2491"/>
    <w:rsid w:val="009F4381"/>
    <w:rsid w:val="009F4EAB"/>
    <w:rsid w:val="009F5AEC"/>
    <w:rsid w:val="009F609F"/>
    <w:rsid w:val="00A04E0B"/>
    <w:rsid w:val="00A14F96"/>
    <w:rsid w:val="00A23D97"/>
    <w:rsid w:val="00A23DD7"/>
    <w:rsid w:val="00A33F3B"/>
    <w:rsid w:val="00A34813"/>
    <w:rsid w:val="00A34A41"/>
    <w:rsid w:val="00A37B0C"/>
    <w:rsid w:val="00A43776"/>
    <w:rsid w:val="00A4582A"/>
    <w:rsid w:val="00A54F42"/>
    <w:rsid w:val="00A55EDA"/>
    <w:rsid w:val="00A63771"/>
    <w:rsid w:val="00A7596E"/>
    <w:rsid w:val="00AB069B"/>
    <w:rsid w:val="00AC3F8A"/>
    <w:rsid w:val="00AD3865"/>
    <w:rsid w:val="00AD4706"/>
    <w:rsid w:val="00AD7115"/>
    <w:rsid w:val="00AE2659"/>
    <w:rsid w:val="00AE2802"/>
    <w:rsid w:val="00AE33F4"/>
    <w:rsid w:val="00AE38F7"/>
    <w:rsid w:val="00AF670E"/>
    <w:rsid w:val="00B01B26"/>
    <w:rsid w:val="00B01DD9"/>
    <w:rsid w:val="00B10598"/>
    <w:rsid w:val="00B10829"/>
    <w:rsid w:val="00B11A41"/>
    <w:rsid w:val="00B17A89"/>
    <w:rsid w:val="00B21CC6"/>
    <w:rsid w:val="00B22001"/>
    <w:rsid w:val="00B26308"/>
    <w:rsid w:val="00B401C2"/>
    <w:rsid w:val="00B403F3"/>
    <w:rsid w:val="00B41817"/>
    <w:rsid w:val="00B45A80"/>
    <w:rsid w:val="00B45C66"/>
    <w:rsid w:val="00B500A8"/>
    <w:rsid w:val="00B52123"/>
    <w:rsid w:val="00B56B1F"/>
    <w:rsid w:val="00B84F60"/>
    <w:rsid w:val="00B93EE7"/>
    <w:rsid w:val="00B97067"/>
    <w:rsid w:val="00BB5877"/>
    <w:rsid w:val="00BC5AB1"/>
    <w:rsid w:val="00BE1238"/>
    <w:rsid w:val="00BE1CD8"/>
    <w:rsid w:val="00BE3782"/>
    <w:rsid w:val="00BE6FC8"/>
    <w:rsid w:val="00BF2408"/>
    <w:rsid w:val="00BF2A32"/>
    <w:rsid w:val="00C07A62"/>
    <w:rsid w:val="00C11745"/>
    <w:rsid w:val="00C12DB9"/>
    <w:rsid w:val="00C20413"/>
    <w:rsid w:val="00C26611"/>
    <w:rsid w:val="00C35E63"/>
    <w:rsid w:val="00C37480"/>
    <w:rsid w:val="00C42D65"/>
    <w:rsid w:val="00C43E0C"/>
    <w:rsid w:val="00C45828"/>
    <w:rsid w:val="00C45896"/>
    <w:rsid w:val="00C47DF5"/>
    <w:rsid w:val="00C50338"/>
    <w:rsid w:val="00C55D64"/>
    <w:rsid w:val="00C609E6"/>
    <w:rsid w:val="00C62F4E"/>
    <w:rsid w:val="00C63473"/>
    <w:rsid w:val="00C651B2"/>
    <w:rsid w:val="00C661A0"/>
    <w:rsid w:val="00C70A54"/>
    <w:rsid w:val="00C71144"/>
    <w:rsid w:val="00C71699"/>
    <w:rsid w:val="00C8242D"/>
    <w:rsid w:val="00C86A4C"/>
    <w:rsid w:val="00C871CE"/>
    <w:rsid w:val="00C90377"/>
    <w:rsid w:val="00C916C5"/>
    <w:rsid w:val="00C92A0A"/>
    <w:rsid w:val="00C943AF"/>
    <w:rsid w:val="00CA2613"/>
    <w:rsid w:val="00CA489A"/>
    <w:rsid w:val="00CA6D15"/>
    <w:rsid w:val="00CB1754"/>
    <w:rsid w:val="00CB1E73"/>
    <w:rsid w:val="00CB47DD"/>
    <w:rsid w:val="00CB647B"/>
    <w:rsid w:val="00CC103E"/>
    <w:rsid w:val="00CC1BCA"/>
    <w:rsid w:val="00CC260F"/>
    <w:rsid w:val="00CC75EF"/>
    <w:rsid w:val="00CD111A"/>
    <w:rsid w:val="00CE25C2"/>
    <w:rsid w:val="00CE7FCC"/>
    <w:rsid w:val="00D0275F"/>
    <w:rsid w:val="00D06898"/>
    <w:rsid w:val="00D15714"/>
    <w:rsid w:val="00D15C38"/>
    <w:rsid w:val="00D1676F"/>
    <w:rsid w:val="00D208CD"/>
    <w:rsid w:val="00D26D90"/>
    <w:rsid w:val="00D36892"/>
    <w:rsid w:val="00D4565D"/>
    <w:rsid w:val="00D65587"/>
    <w:rsid w:val="00D75910"/>
    <w:rsid w:val="00D81093"/>
    <w:rsid w:val="00D8267E"/>
    <w:rsid w:val="00D83B53"/>
    <w:rsid w:val="00D8502B"/>
    <w:rsid w:val="00D90CD3"/>
    <w:rsid w:val="00D95924"/>
    <w:rsid w:val="00D96E96"/>
    <w:rsid w:val="00DA0AFB"/>
    <w:rsid w:val="00DA24BE"/>
    <w:rsid w:val="00DA3137"/>
    <w:rsid w:val="00DB22BA"/>
    <w:rsid w:val="00DB4653"/>
    <w:rsid w:val="00DB4D13"/>
    <w:rsid w:val="00DC65E1"/>
    <w:rsid w:val="00DD314C"/>
    <w:rsid w:val="00DD45B7"/>
    <w:rsid w:val="00DD7B00"/>
    <w:rsid w:val="00DE0E57"/>
    <w:rsid w:val="00DE1718"/>
    <w:rsid w:val="00DE5646"/>
    <w:rsid w:val="00DE7D2E"/>
    <w:rsid w:val="00DE7D3C"/>
    <w:rsid w:val="00DF3F80"/>
    <w:rsid w:val="00E04443"/>
    <w:rsid w:val="00E0449A"/>
    <w:rsid w:val="00E15718"/>
    <w:rsid w:val="00E16ABB"/>
    <w:rsid w:val="00E16BA7"/>
    <w:rsid w:val="00E33B87"/>
    <w:rsid w:val="00E341C7"/>
    <w:rsid w:val="00E52F21"/>
    <w:rsid w:val="00E53C92"/>
    <w:rsid w:val="00E61F0B"/>
    <w:rsid w:val="00E6736E"/>
    <w:rsid w:val="00E6739E"/>
    <w:rsid w:val="00E71EAE"/>
    <w:rsid w:val="00E721BA"/>
    <w:rsid w:val="00E72BC4"/>
    <w:rsid w:val="00E77618"/>
    <w:rsid w:val="00E865F4"/>
    <w:rsid w:val="00E9001A"/>
    <w:rsid w:val="00EA3BD7"/>
    <w:rsid w:val="00EA736D"/>
    <w:rsid w:val="00EB6EFB"/>
    <w:rsid w:val="00EC104C"/>
    <w:rsid w:val="00EC1BDC"/>
    <w:rsid w:val="00EC2EAF"/>
    <w:rsid w:val="00ED1B6E"/>
    <w:rsid w:val="00ED27EB"/>
    <w:rsid w:val="00ED31DB"/>
    <w:rsid w:val="00ED397F"/>
    <w:rsid w:val="00ED589F"/>
    <w:rsid w:val="00ED647F"/>
    <w:rsid w:val="00EE02C8"/>
    <w:rsid w:val="00EE7D59"/>
    <w:rsid w:val="00EF675D"/>
    <w:rsid w:val="00EF7665"/>
    <w:rsid w:val="00F005FD"/>
    <w:rsid w:val="00F13DE6"/>
    <w:rsid w:val="00F17DC9"/>
    <w:rsid w:val="00F230F4"/>
    <w:rsid w:val="00F23267"/>
    <w:rsid w:val="00F234A4"/>
    <w:rsid w:val="00F464DB"/>
    <w:rsid w:val="00F52163"/>
    <w:rsid w:val="00F55900"/>
    <w:rsid w:val="00F608B4"/>
    <w:rsid w:val="00F61D69"/>
    <w:rsid w:val="00F67AB1"/>
    <w:rsid w:val="00F70F8E"/>
    <w:rsid w:val="00F81897"/>
    <w:rsid w:val="00F92975"/>
    <w:rsid w:val="00FA0E1B"/>
    <w:rsid w:val="00FA3B60"/>
    <w:rsid w:val="00FA6C62"/>
    <w:rsid w:val="00FB0824"/>
    <w:rsid w:val="00FB15C4"/>
    <w:rsid w:val="00FC1A8E"/>
    <w:rsid w:val="00FC34C2"/>
    <w:rsid w:val="00FD024B"/>
    <w:rsid w:val="00FD092A"/>
    <w:rsid w:val="00FD171F"/>
    <w:rsid w:val="00FD45D4"/>
    <w:rsid w:val="00FD46C8"/>
    <w:rsid w:val="00FE0696"/>
    <w:rsid w:val="00FE720F"/>
    <w:rsid w:val="00FE7B76"/>
    <w:rsid w:val="00FF0380"/>
    <w:rsid w:val="00FF45C1"/>
    <w:rsid w:val="00FF49F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A3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5EDA"/>
    <w:pPr>
      <w:ind w:left="720"/>
      <w:contextualSpacing/>
    </w:pPr>
  </w:style>
  <w:style w:type="paragraph" w:styleId="En-tte">
    <w:name w:val="header"/>
    <w:basedOn w:val="Normal"/>
    <w:link w:val="En-tteCar"/>
    <w:uiPriority w:val="99"/>
    <w:unhideWhenUsed/>
    <w:rsid w:val="00A7596E"/>
    <w:pPr>
      <w:tabs>
        <w:tab w:val="center" w:pos="4536"/>
        <w:tab w:val="right" w:pos="9072"/>
      </w:tabs>
      <w:spacing w:after="0" w:line="240" w:lineRule="auto"/>
    </w:pPr>
  </w:style>
  <w:style w:type="character" w:customStyle="1" w:styleId="En-tteCar">
    <w:name w:val="En-tête Car"/>
    <w:basedOn w:val="Policepardfaut"/>
    <w:link w:val="En-tte"/>
    <w:uiPriority w:val="99"/>
    <w:rsid w:val="00A7596E"/>
  </w:style>
  <w:style w:type="paragraph" w:styleId="Pieddepage">
    <w:name w:val="footer"/>
    <w:basedOn w:val="Normal"/>
    <w:link w:val="PieddepageCar"/>
    <w:uiPriority w:val="99"/>
    <w:unhideWhenUsed/>
    <w:rsid w:val="00A759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596E"/>
  </w:style>
  <w:style w:type="paragraph" w:styleId="Textedebulles">
    <w:name w:val="Balloon Text"/>
    <w:basedOn w:val="Normal"/>
    <w:link w:val="TextedebullesCar"/>
    <w:uiPriority w:val="99"/>
    <w:semiHidden/>
    <w:unhideWhenUsed/>
    <w:rsid w:val="00A759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596E"/>
    <w:rPr>
      <w:rFonts w:ascii="Tahoma" w:hAnsi="Tahoma" w:cs="Tahoma"/>
      <w:sz w:val="16"/>
      <w:szCs w:val="16"/>
    </w:rPr>
  </w:style>
  <w:style w:type="paragraph" w:customStyle="1" w:styleId="Default">
    <w:name w:val="Default"/>
    <w:rsid w:val="00404907"/>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C90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3866812">
      <w:bodyDiv w:val="1"/>
      <w:marLeft w:val="0"/>
      <w:marRight w:val="0"/>
      <w:marTop w:val="0"/>
      <w:marBottom w:val="0"/>
      <w:divBdr>
        <w:top w:val="none" w:sz="0" w:space="0" w:color="auto"/>
        <w:left w:val="none" w:sz="0" w:space="0" w:color="auto"/>
        <w:bottom w:val="none" w:sz="0" w:space="0" w:color="auto"/>
        <w:right w:val="none" w:sz="0" w:space="0" w:color="auto"/>
      </w:divBdr>
    </w:div>
    <w:div w:id="1026249666">
      <w:bodyDiv w:val="1"/>
      <w:marLeft w:val="0"/>
      <w:marRight w:val="0"/>
      <w:marTop w:val="0"/>
      <w:marBottom w:val="0"/>
      <w:divBdr>
        <w:top w:val="none" w:sz="0" w:space="0" w:color="auto"/>
        <w:left w:val="none" w:sz="0" w:space="0" w:color="auto"/>
        <w:bottom w:val="none" w:sz="0" w:space="0" w:color="auto"/>
        <w:right w:val="none" w:sz="0" w:space="0" w:color="auto"/>
      </w:divBdr>
    </w:div>
    <w:div w:id="1799763734">
      <w:bodyDiv w:val="1"/>
      <w:marLeft w:val="0"/>
      <w:marRight w:val="0"/>
      <w:marTop w:val="0"/>
      <w:marBottom w:val="0"/>
      <w:divBdr>
        <w:top w:val="none" w:sz="0" w:space="0" w:color="auto"/>
        <w:left w:val="none" w:sz="0" w:space="0" w:color="auto"/>
        <w:bottom w:val="none" w:sz="0" w:space="0" w:color="auto"/>
        <w:right w:val="none" w:sz="0" w:space="0" w:color="auto"/>
      </w:divBdr>
    </w:div>
    <w:div w:id="192842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F0A30AF44BA48FB925AF61CF09F5B21"/>
        <w:category>
          <w:name w:val="Général"/>
          <w:gallery w:val="placeholder"/>
        </w:category>
        <w:types>
          <w:type w:val="bbPlcHdr"/>
        </w:types>
        <w:behaviors>
          <w:behavior w:val="content"/>
        </w:behaviors>
        <w:guid w:val="{738C4E0C-79CE-4A4B-9647-33DA381CE75E}"/>
      </w:docPartPr>
      <w:docPartBody>
        <w:p w:rsidR="003258B6" w:rsidRDefault="00A108EA" w:rsidP="00A108EA">
          <w:pPr>
            <w:pStyle w:val="9F0A30AF44BA48FB925AF61CF09F5B21"/>
          </w:pPr>
          <w:r>
            <w:rPr>
              <w:rFonts w:asciiTheme="majorHAnsi" w:eastAsiaTheme="majorEastAsia" w:hAnsiTheme="majorHAnsi" w:cstheme="majorBidi"/>
              <w:sz w:val="36"/>
              <w:szCs w:val="36"/>
            </w:rPr>
            <w:t>[Tapez le titre du document]</w:t>
          </w:r>
        </w:p>
      </w:docPartBody>
    </w:docPart>
    <w:docPart>
      <w:docPartPr>
        <w:name w:val="D3D779F67D8F45DF97AE1EAD24953D83"/>
        <w:category>
          <w:name w:val="Général"/>
          <w:gallery w:val="placeholder"/>
        </w:category>
        <w:types>
          <w:type w:val="bbPlcHdr"/>
        </w:types>
        <w:behaviors>
          <w:behavior w:val="content"/>
        </w:behaviors>
        <w:guid w:val="{452AC0E5-3BBE-44C4-A3EB-89AB74655177}"/>
      </w:docPartPr>
      <w:docPartBody>
        <w:p w:rsidR="003258B6" w:rsidRDefault="00A108EA" w:rsidP="00A108EA">
          <w:pPr>
            <w:pStyle w:val="D3D779F67D8F45DF97AE1EAD24953D83"/>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MT">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108EA"/>
    <w:rsid w:val="003258B6"/>
    <w:rsid w:val="005F38A9"/>
    <w:rsid w:val="00A108EA"/>
    <w:rsid w:val="00A9641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8B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21BB41F9B834247AF5ED6DAC333FA27">
    <w:name w:val="621BB41F9B834247AF5ED6DAC333FA27"/>
    <w:rsid w:val="00A108EA"/>
  </w:style>
  <w:style w:type="paragraph" w:customStyle="1" w:styleId="3F15104B732B4273B0EE3C1878004137">
    <w:name w:val="3F15104B732B4273B0EE3C1878004137"/>
    <w:rsid w:val="00A108EA"/>
  </w:style>
  <w:style w:type="paragraph" w:customStyle="1" w:styleId="9F0A30AF44BA48FB925AF61CF09F5B21">
    <w:name w:val="9F0A30AF44BA48FB925AF61CF09F5B21"/>
    <w:rsid w:val="00A108EA"/>
  </w:style>
  <w:style w:type="paragraph" w:customStyle="1" w:styleId="D3D779F67D8F45DF97AE1EAD24953D83">
    <w:name w:val="D3D779F67D8F45DF97AE1EAD24953D83"/>
    <w:rsid w:val="00A108E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2014-01-20T00:00:00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B6AA3F-56F9-45BA-A8AA-ABC66128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3736</TotalTime>
  <Pages>10</Pages>
  <Words>2789</Words>
  <Characters>15343</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Analyse des cas de fiscalité approfondie: CES révision comptable, ISG Tunis</dc:title>
  <dc:subject/>
  <dc:creator>mounir</dc:creator>
  <cp:keywords/>
  <dc:description/>
  <cp:lastModifiedBy>mounir</cp:lastModifiedBy>
  <cp:revision>223</cp:revision>
  <cp:lastPrinted>2013-02-04T11:18:00Z</cp:lastPrinted>
  <dcterms:created xsi:type="dcterms:W3CDTF">2012-10-23T11:29:00Z</dcterms:created>
  <dcterms:modified xsi:type="dcterms:W3CDTF">2014-02-23T22:29:00Z</dcterms:modified>
</cp:coreProperties>
</file>