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7D" w:rsidRDefault="00CC247D" w:rsidP="00481D10">
      <w:pPr>
        <w:pStyle w:val="En-tte"/>
        <w:jc w:val="center"/>
      </w:pPr>
    </w:p>
    <w:p w:rsidR="009536F7" w:rsidRDefault="00C91FEE" w:rsidP="00CC247D">
      <w:pPr>
        <w:spacing w:line="360" w:lineRule="auto"/>
        <w:ind w:firstLine="360"/>
        <w:jc w:val="both"/>
        <w:rPr>
          <w:sz w:val="24"/>
          <w:szCs w:val="24"/>
        </w:rPr>
      </w:pPr>
      <w:r w:rsidRPr="00C91FEE">
        <w:rPr>
          <w:sz w:val="24"/>
          <w:szCs w:val="24"/>
        </w:rPr>
        <w:t>Il s’agit dans cette consultation d’une société anonyme dont le PDG a constaté certains comportements susceptibles d’être sanctionnés pénalement.</w:t>
      </w:r>
    </w:p>
    <w:p w:rsidR="009536F7" w:rsidRDefault="009536F7" w:rsidP="009536F7">
      <w:pPr>
        <w:spacing w:line="360" w:lineRule="auto"/>
        <w:ind w:firstLine="360"/>
        <w:jc w:val="both"/>
        <w:rPr>
          <w:sz w:val="24"/>
          <w:szCs w:val="24"/>
        </w:rPr>
      </w:pPr>
      <w:r>
        <w:rPr>
          <w:sz w:val="24"/>
          <w:szCs w:val="24"/>
        </w:rPr>
        <w:t>C</w:t>
      </w:r>
      <w:r w:rsidR="00C91FEE">
        <w:rPr>
          <w:sz w:val="24"/>
          <w:szCs w:val="24"/>
        </w:rPr>
        <w:t xml:space="preserve">ette consultation permet de dégager quatre problèmes juridiques : </w:t>
      </w:r>
    </w:p>
    <w:p w:rsidR="009536F7" w:rsidRDefault="00C91FEE" w:rsidP="009536F7">
      <w:pPr>
        <w:pStyle w:val="Paragraphedeliste"/>
        <w:numPr>
          <w:ilvl w:val="0"/>
          <w:numId w:val="2"/>
        </w:numPr>
        <w:spacing w:line="360" w:lineRule="auto"/>
        <w:jc w:val="both"/>
        <w:rPr>
          <w:sz w:val="24"/>
          <w:szCs w:val="24"/>
        </w:rPr>
      </w:pPr>
      <w:r w:rsidRPr="009536F7">
        <w:rPr>
          <w:sz w:val="24"/>
          <w:szCs w:val="24"/>
        </w:rPr>
        <w:t xml:space="preserve">le premier concerne l’omission de certaines déclarations dans les statuts ; </w:t>
      </w:r>
    </w:p>
    <w:p w:rsidR="009536F7" w:rsidRDefault="00C91FEE" w:rsidP="009536F7">
      <w:pPr>
        <w:pStyle w:val="Paragraphedeliste"/>
        <w:numPr>
          <w:ilvl w:val="0"/>
          <w:numId w:val="2"/>
        </w:numPr>
        <w:spacing w:line="360" w:lineRule="auto"/>
        <w:jc w:val="both"/>
        <w:rPr>
          <w:sz w:val="24"/>
          <w:szCs w:val="24"/>
        </w:rPr>
      </w:pPr>
      <w:r w:rsidRPr="009536F7">
        <w:rPr>
          <w:sz w:val="24"/>
          <w:szCs w:val="24"/>
        </w:rPr>
        <w:t>le second se rapporte à l’immatriculation de la société au registre de commerce</w:t>
      </w:r>
      <w:r w:rsidR="009536F7">
        <w:rPr>
          <w:sz w:val="24"/>
          <w:szCs w:val="24"/>
        </w:rPr>
        <w:t xml:space="preserve"> sans la libération </w:t>
      </w:r>
      <w:r w:rsidRPr="009536F7">
        <w:rPr>
          <w:sz w:val="24"/>
          <w:szCs w:val="24"/>
        </w:rPr>
        <w:t xml:space="preserve">du capital ; </w:t>
      </w:r>
    </w:p>
    <w:p w:rsidR="009536F7" w:rsidRDefault="00C91FEE" w:rsidP="009536F7">
      <w:pPr>
        <w:pStyle w:val="Paragraphedeliste"/>
        <w:numPr>
          <w:ilvl w:val="0"/>
          <w:numId w:val="2"/>
        </w:numPr>
        <w:spacing w:line="360" w:lineRule="auto"/>
        <w:jc w:val="both"/>
        <w:rPr>
          <w:sz w:val="24"/>
          <w:szCs w:val="24"/>
        </w:rPr>
      </w:pPr>
      <w:r w:rsidRPr="009536F7">
        <w:rPr>
          <w:sz w:val="24"/>
          <w:szCs w:val="24"/>
        </w:rPr>
        <w:t>le troisième est relatif à l’évaluation de l’apport en nature</w:t>
      </w:r>
      <w:r w:rsidR="009536F7">
        <w:rPr>
          <w:sz w:val="24"/>
          <w:szCs w:val="24"/>
        </w:rPr>
        <w:t> ;</w:t>
      </w:r>
    </w:p>
    <w:p w:rsidR="00C91FEE" w:rsidRPr="009536F7" w:rsidRDefault="00C91FEE" w:rsidP="009536F7">
      <w:pPr>
        <w:pStyle w:val="Paragraphedeliste"/>
        <w:numPr>
          <w:ilvl w:val="0"/>
          <w:numId w:val="2"/>
        </w:numPr>
        <w:spacing w:line="360" w:lineRule="auto"/>
        <w:jc w:val="both"/>
        <w:rPr>
          <w:sz w:val="24"/>
          <w:szCs w:val="24"/>
        </w:rPr>
      </w:pPr>
      <w:r w:rsidRPr="009536F7">
        <w:rPr>
          <w:sz w:val="24"/>
          <w:szCs w:val="24"/>
        </w:rPr>
        <w:t>et le quatrième est inhérent à la rémunération du PDG.</w:t>
      </w:r>
    </w:p>
    <w:p w:rsidR="00C91FEE" w:rsidRDefault="00C91FEE" w:rsidP="00C91FEE">
      <w:pPr>
        <w:spacing w:line="360" w:lineRule="auto"/>
        <w:jc w:val="both"/>
        <w:rPr>
          <w:sz w:val="24"/>
          <w:szCs w:val="24"/>
        </w:rPr>
      </w:pPr>
    </w:p>
    <w:p w:rsidR="003A40B4" w:rsidRPr="009536F7" w:rsidRDefault="003A40B4" w:rsidP="003A40B4">
      <w:pPr>
        <w:pStyle w:val="Paragraphedeliste"/>
        <w:numPr>
          <w:ilvl w:val="0"/>
          <w:numId w:val="1"/>
        </w:numPr>
        <w:spacing w:line="360" w:lineRule="auto"/>
        <w:jc w:val="both"/>
        <w:rPr>
          <w:b/>
          <w:bCs/>
          <w:sz w:val="24"/>
          <w:szCs w:val="24"/>
          <w:u w:val="single"/>
        </w:rPr>
      </w:pPr>
      <w:r w:rsidRPr="009536F7">
        <w:rPr>
          <w:b/>
          <w:bCs/>
          <w:sz w:val="24"/>
          <w:szCs w:val="24"/>
          <w:u w:val="single"/>
        </w:rPr>
        <w:t>Omission de certaines déclarations dans les statuts</w:t>
      </w:r>
    </w:p>
    <w:p w:rsidR="003A40B4" w:rsidRDefault="003A40B4" w:rsidP="009536F7">
      <w:pPr>
        <w:spacing w:line="360" w:lineRule="auto"/>
        <w:ind w:firstLine="360"/>
        <w:jc w:val="both"/>
        <w:rPr>
          <w:sz w:val="24"/>
          <w:szCs w:val="24"/>
        </w:rPr>
      </w:pPr>
      <w:r w:rsidRPr="0008509E">
        <w:rPr>
          <w:sz w:val="24"/>
          <w:szCs w:val="24"/>
          <w:u w:val="single"/>
        </w:rPr>
        <w:t>Le législateur tunisien</w:t>
      </w:r>
      <w:r w:rsidRPr="003A40B4">
        <w:rPr>
          <w:sz w:val="24"/>
          <w:szCs w:val="24"/>
        </w:rPr>
        <w:t xml:space="preserve"> sanctionne le fait d’insérer de fausses déclarations pour induire en erreur ceux qui consultent les statuts. Toutefois, il ne sanctionne pas l’absence de déclaration.</w:t>
      </w:r>
    </w:p>
    <w:p w:rsidR="003A40B4" w:rsidRDefault="003A40B4" w:rsidP="009536F7">
      <w:pPr>
        <w:spacing w:line="360" w:lineRule="auto"/>
        <w:ind w:firstLine="360"/>
        <w:jc w:val="both"/>
        <w:rPr>
          <w:sz w:val="24"/>
          <w:szCs w:val="24"/>
        </w:rPr>
      </w:pPr>
      <w:r w:rsidRPr="0008509E">
        <w:rPr>
          <w:sz w:val="24"/>
          <w:szCs w:val="24"/>
          <w:u w:val="single"/>
        </w:rPr>
        <w:t>Dans les faits d’espèce</w:t>
      </w:r>
      <w:r>
        <w:rPr>
          <w:sz w:val="24"/>
          <w:szCs w:val="24"/>
        </w:rPr>
        <w:t>, les fondateurs ont oublié l’insertion de certaines déclarations.</w:t>
      </w:r>
    </w:p>
    <w:p w:rsidR="009536F7" w:rsidRDefault="003A40B4" w:rsidP="00CC247D">
      <w:pPr>
        <w:spacing w:line="360" w:lineRule="auto"/>
        <w:ind w:firstLine="360"/>
        <w:jc w:val="both"/>
        <w:rPr>
          <w:sz w:val="24"/>
          <w:szCs w:val="24"/>
        </w:rPr>
      </w:pPr>
      <w:r w:rsidRPr="0008509E">
        <w:rPr>
          <w:sz w:val="24"/>
          <w:szCs w:val="24"/>
          <w:u w:val="single"/>
        </w:rPr>
        <w:t xml:space="preserve">Par application des </w:t>
      </w:r>
      <w:r w:rsidR="009536F7" w:rsidRPr="0008509E">
        <w:rPr>
          <w:sz w:val="24"/>
          <w:szCs w:val="24"/>
          <w:u w:val="single"/>
        </w:rPr>
        <w:t>dispositions</w:t>
      </w:r>
      <w:r w:rsidRPr="0008509E">
        <w:rPr>
          <w:sz w:val="24"/>
          <w:szCs w:val="24"/>
          <w:u w:val="single"/>
        </w:rPr>
        <w:t xml:space="preserve"> du principe susvisé</w:t>
      </w:r>
      <w:r>
        <w:rPr>
          <w:sz w:val="24"/>
          <w:szCs w:val="24"/>
        </w:rPr>
        <w:t xml:space="preserve">, il ne s’agit pas d’une infraction </w:t>
      </w:r>
      <w:r w:rsidR="009536F7">
        <w:rPr>
          <w:sz w:val="24"/>
          <w:szCs w:val="24"/>
        </w:rPr>
        <w:t>sanctionnée</w:t>
      </w:r>
      <w:r w:rsidR="00CC247D">
        <w:rPr>
          <w:sz w:val="24"/>
          <w:szCs w:val="24"/>
        </w:rPr>
        <w:t xml:space="preserve"> pénalement.</w:t>
      </w:r>
    </w:p>
    <w:p w:rsidR="009536F7" w:rsidRPr="003A40B4" w:rsidRDefault="009536F7" w:rsidP="003A40B4">
      <w:pPr>
        <w:spacing w:line="360" w:lineRule="auto"/>
        <w:jc w:val="both"/>
        <w:rPr>
          <w:sz w:val="24"/>
          <w:szCs w:val="24"/>
        </w:rPr>
      </w:pPr>
    </w:p>
    <w:p w:rsidR="003A40B4" w:rsidRPr="009536F7" w:rsidRDefault="003A40B4" w:rsidP="003A40B4">
      <w:pPr>
        <w:pStyle w:val="Paragraphedeliste"/>
        <w:numPr>
          <w:ilvl w:val="0"/>
          <w:numId w:val="1"/>
        </w:numPr>
        <w:spacing w:line="360" w:lineRule="auto"/>
        <w:jc w:val="both"/>
        <w:rPr>
          <w:b/>
          <w:bCs/>
          <w:sz w:val="24"/>
          <w:szCs w:val="24"/>
          <w:u w:val="single"/>
        </w:rPr>
      </w:pPr>
      <w:r w:rsidRPr="009536F7">
        <w:rPr>
          <w:b/>
          <w:bCs/>
          <w:sz w:val="24"/>
          <w:szCs w:val="24"/>
          <w:u w:val="single"/>
        </w:rPr>
        <w:t>Immatriculation au registre de commerce sans libération du capital</w:t>
      </w:r>
    </w:p>
    <w:p w:rsidR="009508B8" w:rsidRDefault="00B53815" w:rsidP="00B53815">
      <w:pPr>
        <w:spacing w:line="360" w:lineRule="auto"/>
        <w:ind w:firstLine="360"/>
        <w:jc w:val="both"/>
        <w:rPr>
          <w:sz w:val="24"/>
          <w:szCs w:val="24"/>
        </w:rPr>
      </w:pPr>
      <w:r w:rsidRPr="0008509E">
        <w:rPr>
          <w:sz w:val="24"/>
          <w:szCs w:val="24"/>
          <w:u w:val="single"/>
        </w:rPr>
        <w:t>L’article 186 du code des sociétés commerciales</w:t>
      </w:r>
      <w:r w:rsidR="003A40B4">
        <w:rPr>
          <w:sz w:val="24"/>
          <w:szCs w:val="24"/>
        </w:rPr>
        <w:t xml:space="preserve"> sanctionne d’une peine d’emprisonnement </w:t>
      </w:r>
      <w:r>
        <w:rPr>
          <w:sz w:val="24"/>
          <w:szCs w:val="24"/>
        </w:rPr>
        <w:t xml:space="preserve">d’un an à cinq ans et d’une amende de 1000 à 10 000 dinars </w:t>
      </w:r>
      <w:r w:rsidR="009536F7">
        <w:rPr>
          <w:sz w:val="24"/>
          <w:szCs w:val="24"/>
        </w:rPr>
        <w:t>ceux</w:t>
      </w:r>
      <w:r>
        <w:rPr>
          <w:sz w:val="24"/>
          <w:szCs w:val="24"/>
        </w:rPr>
        <w:t xml:space="preserve"> qui</w:t>
      </w:r>
      <w:r w:rsidR="003A40B4">
        <w:rPr>
          <w:sz w:val="24"/>
          <w:szCs w:val="24"/>
        </w:rPr>
        <w:t xml:space="preserve"> </w:t>
      </w:r>
      <w:r>
        <w:rPr>
          <w:sz w:val="24"/>
          <w:szCs w:val="24"/>
        </w:rPr>
        <w:t>ont déclaré</w:t>
      </w:r>
      <w:r w:rsidR="003A40B4">
        <w:rPr>
          <w:sz w:val="24"/>
          <w:szCs w:val="24"/>
        </w:rPr>
        <w:t xml:space="preserve"> de mauvaise foi que les fonds ont été </w:t>
      </w:r>
      <w:r>
        <w:rPr>
          <w:sz w:val="24"/>
          <w:szCs w:val="24"/>
        </w:rPr>
        <w:t>effectivement versés alors qu’ils n’</w:t>
      </w:r>
      <w:r w:rsidR="003A40B4">
        <w:rPr>
          <w:sz w:val="24"/>
          <w:szCs w:val="24"/>
        </w:rPr>
        <w:t xml:space="preserve">ont pas </w:t>
      </w:r>
      <w:r>
        <w:rPr>
          <w:sz w:val="24"/>
          <w:szCs w:val="24"/>
        </w:rPr>
        <w:t xml:space="preserve">été </w:t>
      </w:r>
      <w:r w:rsidR="003A40B4">
        <w:rPr>
          <w:sz w:val="24"/>
          <w:szCs w:val="24"/>
        </w:rPr>
        <w:t>mis à la disposition de la société.</w:t>
      </w:r>
      <w:r w:rsidR="009508B8">
        <w:rPr>
          <w:sz w:val="24"/>
          <w:szCs w:val="24"/>
        </w:rPr>
        <w:t xml:space="preserve"> </w:t>
      </w:r>
    </w:p>
    <w:p w:rsidR="003A40B4" w:rsidRDefault="003A40B4" w:rsidP="007A463B">
      <w:pPr>
        <w:spacing w:line="360" w:lineRule="auto"/>
        <w:ind w:firstLine="360"/>
        <w:jc w:val="both"/>
        <w:rPr>
          <w:sz w:val="24"/>
          <w:szCs w:val="24"/>
        </w:rPr>
      </w:pPr>
      <w:r w:rsidRPr="0008509E">
        <w:rPr>
          <w:sz w:val="24"/>
          <w:szCs w:val="24"/>
          <w:u w:val="single"/>
        </w:rPr>
        <w:t>Dans cette consultation</w:t>
      </w:r>
      <w:r>
        <w:rPr>
          <w:sz w:val="24"/>
          <w:szCs w:val="24"/>
        </w:rPr>
        <w:t xml:space="preserve">, le fondateur a procédé à l’immatriculation au registre de commerce </w:t>
      </w:r>
      <w:r w:rsidR="00454346">
        <w:rPr>
          <w:sz w:val="24"/>
          <w:szCs w:val="24"/>
        </w:rPr>
        <w:t>sans que le quart du capital ne soit libéré. Cette immatriculation a été faite sur la base de fausses déclarations affirmant que les fonds ont été mis à disposition de la société.</w:t>
      </w:r>
      <w:r w:rsidR="00086957">
        <w:rPr>
          <w:sz w:val="24"/>
          <w:szCs w:val="24"/>
        </w:rPr>
        <w:t xml:space="preserve"> </w:t>
      </w:r>
    </w:p>
    <w:p w:rsidR="00DE7C67" w:rsidRDefault="00454346" w:rsidP="007A463B">
      <w:pPr>
        <w:spacing w:line="360" w:lineRule="auto"/>
        <w:ind w:firstLine="360"/>
        <w:jc w:val="both"/>
        <w:rPr>
          <w:sz w:val="24"/>
          <w:szCs w:val="24"/>
        </w:rPr>
      </w:pPr>
      <w:r w:rsidRPr="0008509E">
        <w:rPr>
          <w:sz w:val="24"/>
          <w:szCs w:val="24"/>
          <w:u w:val="single"/>
        </w:rPr>
        <w:lastRenderedPageBreak/>
        <w:t xml:space="preserve">On conclut par application </w:t>
      </w:r>
      <w:r w:rsidR="00086957">
        <w:rPr>
          <w:sz w:val="24"/>
          <w:szCs w:val="24"/>
          <w:u w:val="single"/>
        </w:rPr>
        <w:t>des</w:t>
      </w:r>
      <w:r w:rsidR="00B53815" w:rsidRPr="0008509E">
        <w:rPr>
          <w:sz w:val="24"/>
          <w:szCs w:val="24"/>
          <w:u w:val="single"/>
        </w:rPr>
        <w:t xml:space="preserve"> disposition</w:t>
      </w:r>
      <w:r w:rsidR="00086957">
        <w:rPr>
          <w:sz w:val="24"/>
          <w:szCs w:val="24"/>
          <w:u w:val="single"/>
        </w:rPr>
        <w:t>s</w:t>
      </w:r>
      <w:r w:rsidR="00B53815" w:rsidRPr="0008509E">
        <w:rPr>
          <w:sz w:val="24"/>
          <w:szCs w:val="24"/>
          <w:u w:val="single"/>
        </w:rPr>
        <w:t xml:space="preserve"> de</w:t>
      </w:r>
      <w:r w:rsidR="00086957">
        <w:rPr>
          <w:sz w:val="24"/>
          <w:szCs w:val="24"/>
          <w:u w:val="single"/>
        </w:rPr>
        <w:t xml:space="preserve"> </w:t>
      </w:r>
      <w:r w:rsidR="007A463B">
        <w:rPr>
          <w:sz w:val="24"/>
          <w:szCs w:val="24"/>
          <w:u w:val="single"/>
        </w:rPr>
        <w:t>l’</w:t>
      </w:r>
      <w:r w:rsidR="00B53815" w:rsidRPr="0008509E">
        <w:rPr>
          <w:sz w:val="24"/>
          <w:szCs w:val="24"/>
          <w:u w:val="single"/>
        </w:rPr>
        <w:t>article 186 du code</w:t>
      </w:r>
      <w:r w:rsidR="00B53815">
        <w:rPr>
          <w:sz w:val="24"/>
          <w:szCs w:val="24"/>
        </w:rPr>
        <w:t xml:space="preserve"> que</w:t>
      </w:r>
      <w:r>
        <w:rPr>
          <w:sz w:val="24"/>
          <w:szCs w:val="24"/>
        </w:rPr>
        <w:t xml:space="preserve"> le</w:t>
      </w:r>
      <w:r w:rsidR="00B53815">
        <w:rPr>
          <w:sz w:val="24"/>
          <w:szCs w:val="24"/>
        </w:rPr>
        <w:t>s</w:t>
      </w:r>
      <w:r>
        <w:rPr>
          <w:sz w:val="24"/>
          <w:szCs w:val="24"/>
        </w:rPr>
        <w:t xml:space="preserve"> fondateur</w:t>
      </w:r>
      <w:r w:rsidR="00086957">
        <w:rPr>
          <w:sz w:val="24"/>
          <w:szCs w:val="24"/>
        </w:rPr>
        <w:t xml:space="preserve">s </w:t>
      </w:r>
      <w:r w:rsidR="00B53815">
        <w:rPr>
          <w:sz w:val="24"/>
          <w:szCs w:val="24"/>
        </w:rPr>
        <w:t>ont</w:t>
      </w:r>
      <w:r>
        <w:rPr>
          <w:sz w:val="24"/>
          <w:szCs w:val="24"/>
        </w:rPr>
        <w:t xml:space="preserve"> commis une infraction punissable d’une peine d’emprisonnement </w:t>
      </w:r>
      <w:r w:rsidR="00B53815">
        <w:rPr>
          <w:sz w:val="24"/>
          <w:szCs w:val="24"/>
        </w:rPr>
        <w:t>de un an à cinq</w:t>
      </w:r>
      <w:r w:rsidR="00DE7C67">
        <w:rPr>
          <w:sz w:val="24"/>
          <w:szCs w:val="24"/>
        </w:rPr>
        <w:t xml:space="preserve"> ans et d’une amende de 1000 à 10 000 </w:t>
      </w:r>
      <w:r w:rsidR="00086957">
        <w:rPr>
          <w:sz w:val="24"/>
          <w:szCs w:val="24"/>
        </w:rPr>
        <w:t>dinars</w:t>
      </w:r>
      <w:r w:rsidR="00DE7C67">
        <w:rPr>
          <w:sz w:val="24"/>
          <w:szCs w:val="24"/>
        </w:rPr>
        <w:t>.</w:t>
      </w:r>
    </w:p>
    <w:p w:rsidR="009536F7" w:rsidRPr="003A40B4" w:rsidRDefault="009536F7" w:rsidP="009536F7">
      <w:pPr>
        <w:spacing w:line="360" w:lineRule="auto"/>
        <w:ind w:firstLine="360"/>
        <w:jc w:val="both"/>
        <w:rPr>
          <w:sz w:val="24"/>
          <w:szCs w:val="24"/>
        </w:rPr>
      </w:pPr>
    </w:p>
    <w:p w:rsidR="003A40B4" w:rsidRPr="009536F7" w:rsidRDefault="003A40B4" w:rsidP="003A40B4">
      <w:pPr>
        <w:pStyle w:val="Paragraphedeliste"/>
        <w:numPr>
          <w:ilvl w:val="0"/>
          <w:numId w:val="1"/>
        </w:numPr>
        <w:spacing w:line="360" w:lineRule="auto"/>
        <w:jc w:val="both"/>
        <w:rPr>
          <w:b/>
          <w:bCs/>
          <w:sz w:val="24"/>
          <w:szCs w:val="24"/>
          <w:u w:val="single"/>
        </w:rPr>
      </w:pPr>
      <w:r w:rsidRPr="009536F7">
        <w:rPr>
          <w:b/>
          <w:bCs/>
          <w:sz w:val="24"/>
          <w:szCs w:val="24"/>
          <w:u w:val="single"/>
        </w:rPr>
        <w:t>Evaluation des apports en nature</w:t>
      </w:r>
    </w:p>
    <w:p w:rsidR="00DE7C67" w:rsidRDefault="00DE7C67" w:rsidP="009536F7">
      <w:pPr>
        <w:spacing w:line="360" w:lineRule="auto"/>
        <w:ind w:firstLine="360"/>
        <w:jc w:val="both"/>
        <w:rPr>
          <w:sz w:val="24"/>
          <w:szCs w:val="24"/>
        </w:rPr>
      </w:pPr>
      <w:r w:rsidRPr="0008509E">
        <w:rPr>
          <w:sz w:val="24"/>
          <w:szCs w:val="24"/>
          <w:u w:val="single"/>
        </w:rPr>
        <w:t>Dans une société anonyme,</w:t>
      </w:r>
      <w:r>
        <w:rPr>
          <w:sz w:val="24"/>
          <w:szCs w:val="24"/>
        </w:rPr>
        <w:t xml:space="preserve"> les fondateurs doivent demander au préalable au président du tribunal de première instance de désigner un ou plusieurs commissaires aux apports. La majoration des apports en cas de défaut de nomination du commissaire aux apports est sanctionnée pénalement d’une peine d’emprisonnement d</w:t>
      </w:r>
      <w:r w:rsidR="00B53815">
        <w:rPr>
          <w:sz w:val="24"/>
          <w:szCs w:val="24"/>
        </w:rPr>
        <w:t>e un an à cinq</w:t>
      </w:r>
      <w:r>
        <w:rPr>
          <w:sz w:val="24"/>
          <w:szCs w:val="24"/>
        </w:rPr>
        <w:t xml:space="preserve"> ans et d’une amende de 1000 à 10 000 </w:t>
      </w:r>
      <w:r w:rsidR="00086957">
        <w:rPr>
          <w:sz w:val="24"/>
          <w:szCs w:val="24"/>
        </w:rPr>
        <w:t>dinars</w:t>
      </w:r>
      <w:r>
        <w:rPr>
          <w:sz w:val="24"/>
          <w:szCs w:val="24"/>
        </w:rPr>
        <w:t xml:space="preserve"> s’il s’agit d’une société anonyme faisant appel public à l’épargne et seulement une amende de 1000 à 10 000 </w:t>
      </w:r>
      <w:r w:rsidR="00086957">
        <w:rPr>
          <w:sz w:val="24"/>
          <w:szCs w:val="24"/>
        </w:rPr>
        <w:t>dinars</w:t>
      </w:r>
      <w:r>
        <w:rPr>
          <w:sz w:val="24"/>
          <w:szCs w:val="24"/>
        </w:rPr>
        <w:t xml:space="preserve"> s’il s’agit d’une société anonyme ne faisant pas appel public à l’épargne.</w:t>
      </w:r>
      <w:r w:rsidR="00EF704E">
        <w:rPr>
          <w:sz w:val="24"/>
          <w:szCs w:val="24"/>
        </w:rPr>
        <w:t xml:space="preserve"> Une majoration des apports suite à un rapport d’un commissaire aux apports est liée à la responsabilité de cet expert.</w:t>
      </w:r>
    </w:p>
    <w:p w:rsidR="00DE7C67" w:rsidRDefault="00DE7C67" w:rsidP="009536F7">
      <w:pPr>
        <w:spacing w:line="360" w:lineRule="auto"/>
        <w:ind w:firstLine="360"/>
        <w:jc w:val="both"/>
        <w:rPr>
          <w:sz w:val="24"/>
          <w:szCs w:val="24"/>
        </w:rPr>
      </w:pPr>
      <w:r w:rsidRPr="0008509E">
        <w:rPr>
          <w:sz w:val="24"/>
          <w:szCs w:val="24"/>
          <w:u w:val="single"/>
        </w:rPr>
        <w:t>Dans cette consultation</w:t>
      </w:r>
      <w:r>
        <w:rPr>
          <w:sz w:val="24"/>
          <w:szCs w:val="24"/>
        </w:rPr>
        <w:t xml:space="preserve">, certains actionnaires se sentent lésés par la valeur donnée </w:t>
      </w:r>
      <w:r w:rsidR="009536F7">
        <w:rPr>
          <w:sz w:val="24"/>
          <w:szCs w:val="24"/>
        </w:rPr>
        <w:t>aux apports</w:t>
      </w:r>
      <w:r>
        <w:rPr>
          <w:sz w:val="24"/>
          <w:szCs w:val="24"/>
        </w:rPr>
        <w:t xml:space="preserve"> en nature</w:t>
      </w:r>
      <w:r w:rsidR="00EF704E">
        <w:rPr>
          <w:sz w:val="24"/>
          <w:szCs w:val="24"/>
        </w:rPr>
        <w:t xml:space="preserve">. Cette affirmation laisse entendre qu’aucun </w:t>
      </w:r>
      <w:r w:rsidR="009536F7">
        <w:rPr>
          <w:sz w:val="24"/>
          <w:szCs w:val="24"/>
        </w:rPr>
        <w:t>commissaire</w:t>
      </w:r>
      <w:r w:rsidR="00EF704E">
        <w:rPr>
          <w:sz w:val="24"/>
          <w:szCs w:val="24"/>
        </w:rPr>
        <w:t xml:space="preserve"> n’a été désigné et que les apports en nature ont été évalués d’une </w:t>
      </w:r>
      <w:r w:rsidR="009536F7">
        <w:rPr>
          <w:sz w:val="24"/>
          <w:szCs w:val="24"/>
        </w:rPr>
        <w:t>façon</w:t>
      </w:r>
      <w:r w:rsidR="00EF704E">
        <w:rPr>
          <w:sz w:val="24"/>
          <w:szCs w:val="24"/>
        </w:rPr>
        <w:t xml:space="preserve"> arbitraire sans recours à l’expertise.</w:t>
      </w:r>
    </w:p>
    <w:p w:rsidR="00086957" w:rsidRDefault="0008509E" w:rsidP="007A463B">
      <w:pPr>
        <w:spacing w:line="360" w:lineRule="auto"/>
        <w:ind w:firstLine="360"/>
        <w:jc w:val="both"/>
        <w:rPr>
          <w:sz w:val="24"/>
          <w:szCs w:val="24"/>
        </w:rPr>
      </w:pPr>
      <w:r>
        <w:rPr>
          <w:sz w:val="24"/>
          <w:szCs w:val="24"/>
          <w:u w:val="single"/>
        </w:rPr>
        <w:t xml:space="preserve">Par application des </w:t>
      </w:r>
      <w:r w:rsidR="00EF704E" w:rsidRPr="0008509E">
        <w:rPr>
          <w:sz w:val="24"/>
          <w:szCs w:val="24"/>
          <w:u w:val="single"/>
        </w:rPr>
        <w:t>disposition</w:t>
      </w:r>
      <w:r>
        <w:rPr>
          <w:sz w:val="24"/>
          <w:szCs w:val="24"/>
          <w:u w:val="single"/>
        </w:rPr>
        <w:t>s susmentionnées</w:t>
      </w:r>
      <w:r w:rsidR="00EF704E">
        <w:rPr>
          <w:sz w:val="24"/>
          <w:szCs w:val="24"/>
        </w:rPr>
        <w:t xml:space="preserve"> </w:t>
      </w:r>
      <w:r w:rsidR="00B53815">
        <w:rPr>
          <w:sz w:val="24"/>
          <w:szCs w:val="24"/>
        </w:rPr>
        <w:t xml:space="preserve">et </w:t>
      </w:r>
      <w:r w:rsidR="00EF704E">
        <w:rPr>
          <w:sz w:val="24"/>
          <w:szCs w:val="24"/>
        </w:rPr>
        <w:t xml:space="preserve">en </w:t>
      </w:r>
      <w:r w:rsidR="009536F7">
        <w:rPr>
          <w:sz w:val="24"/>
          <w:szCs w:val="24"/>
        </w:rPr>
        <w:t>considérant</w:t>
      </w:r>
      <w:r w:rsidR="00EF704E">
        <w:rPr>
          <w:sz w:val="24"/>
          <w:szCs w:val="24"/>
        </w:rPr>
        <w:t xml:space="preserve"> la société comme une société ne </w:t>
      </w:r>
      <w:r w:rsidR="009536F7">
        <w:rPr>
          <w:sz w:val="24"/>
          <w:szCs w:val="24"/>
        </w:rPr>
        <w:t>faisant</w:t>
      </w:r>
      <w:r w:rsidR="00EF704E">
        <w:rPr>
          <w:sz w:val="24"/>
          <w:szCs w:val="24"/>
        </w:rPr>
        <w:t xml:space="preserve"> pas appel public à l’épargne, les fondateurs sont sanctionnés d’une amende de 1000 à 10 000 </w:t>
      </w:r>
      <w:r w:rsidR="00086957">
        <w:rPr>
          <w:sz w:val="24"/>
          <w:szCs w:val="24"/>
        </w:rPr>
        <w:t>dinars</w:t>
      </w:r>
      <w:r w:rsidR="00EF704E">
        <w:rPr>
          <w:sz w:val="24"/>
          <w:szCs w:val="24"/>
        </w:rPr>
        <w:t>. </w:t>
      </w:r>
    </w:p>
    <w:p w:rsidR="007A463B" w:rsidRPr="00DE7C67" w:rsidRDefault="007A463B" w:rsidP="007A463B">
      <w:pPr>
        <w:spacing w:line="360" w:lineRule="auto"/>
        <w:ind w:firstLine="360"/>
        <w:jc w:val="both"/>
        <w:rPr>
          <w:sz w:val="24"/>
          <w:szCs w:val="24"/>
        </w:rPr>
      </w:pPr>
    </w:p>
    <w:p w:rsidR="003A40B4" w:rsidRPr="009536F7" w:rsidRDefault="003A40B4" w:rsidP="003A40B4">
      <w:pPr>
        <w:pStyle w:val="Paragraphedeliste"/>
        <w:numPr>
          <w:ilvl w:val="0"/>
          <w:numId w:val="1"/>
        </w:numPr>
        <w:spacing w:line="360" w:lineRule="auto"/>
        <w:jc w:val="both"/>
        <w:rPr>
          <w:b/>
          <w:bCs/>
          <w:sz w:val="24"/>
          <w:szCs w:val="24"/>
          <w:u w:val="single"/>
        </w:rPr>
      </w:pPr>
      <w:r w:rsidRPr="009536F7">
        <w:rPr>
          <w:b/>
          <w:bCs/>
          <w:sz w:val="24"/>
          <w:szCs w:val="24"/>
          <w:u w:val="single"/>
        </w:rPr>
        <w:t>Rémunération du PDG</w:t>
      </w:r>
    </w:p>
    <w:p w:rsidR="00040F39" w:rsidRDefault="00B53815" w:rsidP="009536F7">
      <w:pPr>
        <w:spacing w:line="360" w:lineRule="auto"/>
        <w:ind w:firstLine="360"/>
        <w:jc w:val="both"/>
        <w:rPr>
          <w:sz w:val="24"/>
          <w:szCs w:val="24"/>
        </w:rPr>
      </w:pPr>
      <w:r w:rsidRPr="0008509E">
        <w:rPr>
          <w:sz w:val="24"/>
          <w:szCs w:val="24"/>
          <w:u w:val="single"/>
        </w:rPr>
        <w:t>Selon l’article 223 du code des sociétés commerciales,</w:t>
      </w:r>
      <w:r>
        <w:rPr>
          <w:sz w:val="24"/>
          <w:szCs w:val="24"/>
        </w:rPr>
        <w:t xml:space="preserve"> l</w:t>
      </w:r>
      <w:r w:rsidR="00EF704E">
        <w:rPr>
          <w:sz w:val="24"/>
          <w:szCs w:val="24"/>
        </w:rPr>
        <w:t xml:space="preserve">es membres du conseil d’administration qui de mauvaise foi, ont fait des </w:t>
      </w:r>
      <w:r>
        <w:rPr>
          <w:sz w:val="24"/>
          <w:szCs w:val="24"/>
        </w:rPr>
        <w:t>biens ou crédit de la société un</w:t>
      </w:r>
      <w:r w:rsidR="00EF704E">
        <w:rPr>
          <w:sz w:val="24"/>
          <w:szCs w:val="24"/>
        </w:rPr>
        <w:t xml:space="preserve"> usage qu’ils </w:t>
      </w:r>
      <w:r w:rsidR="009536F7">
        <w:rPr>
          <w:sz w:val="24"/>
          <w:szCs w:val="24"/>
        </w:rPr>
        <w:t>savaient</w:t>
      </w:r>
      <w:r w:rsidR="00EF704E">
        <w:rPr>
          <w:sz w:val="24"/>
          <w:szCs w:val="24"/>
        </w:rPr>
        <w:t xml:space="preserve"> contraire à l’</w:t>
      </w:r>
      <w:r w:rsidR="009536F7">
        <w:rPr>
          <w:sz w:val="24"/>
          <w:szCs w:val="24"/>
        </w:rPr>
        <w:t>intérêt</w:t>
      </w:r>
      <w:r>
        <w:rPr>
          <w:sz w:val="24"/>
          <w:szCs w:val="24"/>
        </w:rPr>
        <w:t xml:space="preserve"> social</w:t>
      </w:r>
      <w:r w:rsidR="00EF704E">
        <w:rPr>
          <w:sz w:val="24"/>
          <w:szCs w:val="24"/>
        </w:rPr>
        <w:t xml:space="preserve"> sont punis d</w:t>
      </w:r>
      <w:r>
        <w:rPr>
          <w:sz w:val="24"/>
          <w:szCs w:val="24"/>
        </w:rPr>
        <w:t xml:space="preserve">’une peine d’emprisonnement de un an à </w:t>
      </w:r>
      <w:r w:rsidR="00EF704E">
        <w:rPr>
          <w:sz w:val="24"/>
          <w:szCs w:val="24"/>
        </w:rPr>
        <w:t xml:space="preserve"> </w:t>
      </w:r>
      <w:r>
        <w:rPr>
          <w:sz w:val="24"/>
          <w:szCs w:val="24"/>
        </w:rPr>
        <w:t xml:space="preserve">cinq </w:t>
      </w:r>
      <w:r w:rsidR="00EF704E">
        <w:rPr>
          <w:sz w:val="24"/>
          <w:szCs w:val="24"/>
        </w:rPr>
        <w:t xml:space="preserve">ans </w:t>
      </w:r>
      <w:r w:rsidR="00040F39">
        <w:rPr>
          <w:sz w:val="24"/>
          <w:szCs w:val="24"/>
        </w:rPr>
        <w:t xml:space="preserve">et d’une amende de 2000 à 10 000 </w:t>
      </w:r>
      <w:r w:rsidR="00086957">
        <w:rPr>
          <w:sz w:val="24"/>
          <w:szCs w:val="24"/>
        </w:rPr>
        <w:t>dinars</w:t>
      </w:r>
      <w:r w:rsidR="00040F39">
        <w:rPr>
          <w:sz w:val="24"/>
          <w:szCs w:val="24"/>
        </w:rPr>
        <w:t xml:space="preserve"> ou l’une des deux seulement.</w:t>
      </w:r>
      <w:r w:rsidR="0008509E" w:rsidRPr="0008509E">
        <w:rPr>
          <w:sz w:val="24"/>
          <w:szCs w:val="24"/>
        </w:rPr>
        <w:t xml:space="preserve"> </w:t>
      </w:r>
      <w:r w:rsidR="0008509E">
        <w:rPr>
          <w:sz w:val="24"/>
          <w:szCs w:val="24"/>
        </w:rPr>
        <w:t>En droit tunisien, l’octroi d’un dirigeant d’une forte rémunération</w:t>
      </w:r>
      <w:r w:rsidR="00934B2F">
        <w:rPr>
          <w:sz w:val="24"/>
          <w:szCs w:val="24"/>
        </w:rPr>
        <w:t xml:space="preserve"> entre dans la définition de la </w:t>
      </w:r>
      <w:r w:rsidR="0008509E">
        <w:rPr>
          <w:sz w:val="24"/>
          <w:szCs w:val="24"/>
        </w:rPr>
        <w:t>notion d’usage des biens sociaux et crédit de la société.</w:t>
      </w:r>
    </w:p>
    <w:p w:rsidR="003A40B4" w:rsidRDefault="00040F39" w:rsidP="009536F7">
      <w:pPr>
        <w:spacing w:line="360" w:lineRule="auto"/>
        <w:ind w:firstLine="360"/>
        <w:jc w:val="both"/>
        <w:rPr>
          <w:sz w:val="24"/>
          <w:szCs w:val="24"/>
        </w:rPr>
      </w:pPr>
      <w:r w:rsidRPr="0008509E">
        <w:rPr>
          <w:sz w:val="24"/>
          <w:szCs w:val="24"/>
          <w:u w:val="single"/>
        </w:rPr>
        <w:lastRenderedPageBreak/>
        <w:t>Dans le cas d‘espèce</w:t>
      </w:r>
      <w:r>
        <w:rPr>
          <w:sz w:val="24"/>
          <w:szCs w:val="24"/>
        </w:rPr>
        <w:t>, les membres du conseil d’</w:t>
      </w:r>
      <w:r w:rsidR="009536F7">
        <w:rPr>
          <w:sz w:val="24"/>
          <w:szCs w:val="24"/>
        </w:rPr>
        <w:t>administration</w:t>
      </w:r>
      <w:r w:rsidR="00DD565B">
        <w:rPr>
          <w:sz w:val="24"/>
          <w:szCs w:val="24"/>
        </w:rPr>
        <w:t xml:space="preserve">, </w:t>
      </w:r>
      <w:r>
        <w:rPr>
          <w:sz w:val="24"/>
          <w:szCs w:val="24"/>
        </w:rPr>
        <w:t>qui fixe</w:t>
      </w:r>
      <w:r w:rsidR="00DD565B">
        <w:rPr>
          <w:sz w:val="24"/>
          <w:szCs w:val="24"/>
        </w:rPr>
        <w:t>nt</w:t>
      </w:r>
      <w:r>
        <w:rPr>
          <w:sz w:val="24"/>
          <w:szCs w:val="24"/>
        </w:rPr>
        <w:t xml:space="preserve"> la rémunération du PDG</w:t>
      </w:r>
      <w:r w:rsidR="00DD565B">
        <w:rPr>
          <w:sz w:val="24"/>
          <w:szCs w:val="24"/>
        </w:rPr>
        <w:t>,</w:t>
      </w:r>
      <w:r>
        <w:rPr>
          <w:sz w:val="24"/>
          <w:szCs w:val="24"/>
        </w:rPr>
        <w:t xml:space="preserve"> lui ont accordé une rémunération très </w:t>
      </w:r>
      <w:r w:rsidR="009536F7">
        <w:rPr>
          <w:sz w:val="24"/>
          <w:szCs w:val="24"/>
        </w:rPr>
        <w:t>élevée</w:t>
      </w:r>
      <w:r>
        <w:rPr>
          <w:sz w:val="24"/>
          <w:szCs w:val="24"/>
        </w:rPr>
        <w:t xml:space="preserve"> en connaissance qu’elle est contraire à l’intérêt de la société.</w:t>
      </w:r>
    </w:p>
    <w:p w:rsidR="00040F39" w:rsidRPr="003A40B4" w:rsidRDefault="00040F39" w:rsidP="009536F7">
      <w:pPr>
        <w:spacing w:line="360" w:lineRule="auto"/>
        <w:ind w:firstLine="360"/>
        <w:jc w:val="both"/>
        <w:rPr>
          <w:sz w:val="24"/>
          <w:szCs w:val="24"/>
        </w:rPr>
      </w:pPr>
      <w:r w:rsidRPr="0008509E">
        <w:rPr>
          <w:sz w:val="24"/>
          <w:szCs w:val="24"/>
          <w:u w:val="single"/>
        </w:rPr>
        <w:t xml:space="preserve">On </w:t>
      </w:r>
      <w:r w:rsidR="00DD565B" w:rsidRPr="0008509E">
        <w:rPr>
          <w:sz w:val="24"/>
          <w:szCs w:val="24"/>
          <w:u w:val="single"/>
        </w:rPr>
        <w:t>conclut par l’application des</w:t>
      </w:r>
      <w:r w:rsidRPr="0008509E">
        <w:rPr>
          <w:sz w:val="24"/>
          <w:szCs w:val="24"/>
          <w:u w:val="single"/>
        </w:rPr>
        <w:t xml:space="preserve"> dispositions</w:t>
      </w:r>
      <w:r w:rsidR="00DD565B" w:rsidRPr="0008509E">
        <w:rPr>
          <w:sz w:val="24"/>
          <w:szCs w:val="24"/>
          <w:u w:val="single"/>
        </w:rPr>
        <w:t xml:space="preserve"> de l’article 223 du code</w:t>
      </w:r>
      <w:r>
        <w:rPr>
          <w:sz w:val="24"/>
          <w:szCs w:val="24"/>
        </w:rPr>
        <w:t xml:space="preserve"> que les </w:t>
      </w:r>
      <w:r w:rsidR="009536F7">
        <w:rPr>
          <w:sz w:val="24"/>
          <w:szCs w:val="24"/>
        </w:rPr>
        <w:t>membres</w:t>
      </w:r>
      <w:r>
        <w:rPr>
          <w:sz w:val="24"/>
          <w:szCs w:val="24"/>
        </w:rPr>
        <w:t xml:space="preserve"> du conseil d’administration doivent </w:t>
      </w:r>
      <w:r w:rsidR="009536F7">
        <w:rPr>
          <w:sz w:val="24"/>
          <w:szCs w:val="24"/>
        </w:rPr>
        <w:t>être</w:t>
      </w:r>
      <w:r>
        <w:rPr>
          <w:sz w:val="24"/>
          <w:szCs w:val="24"/>
        </w:rPr>
        <w:t xml:space="preserve"> punis d</w:t>
      </w:r>
      <w:r w:rsidR="00DD565B">
        <w:rPr>
          <w:sz w:val="24"/>
          <w:szCs w:val="24"/>
        </w:rPr>
        <w:t xml:space="preserve">’une peine d’emprisonnement de un an à cinq </w:t>
      </w:r>
      <w:r>
        <w:rPr>
          <w:sz w:val="24"/>
          <w:szCs w:val="24"/>
        </w:rPr>
        <w:t xml:space="preserve">ans et/ou d’une amende de 2000 à 10 000 </w:t>
      </w:r>
      <w:r w:rsidR="00086957">
        <w:rPr>
          <w:sz w:val="24"/>
          <w:szCs w:val="24"/>
        </w:rPr>
        <w:t>dinars</w:t>
      </w:r>
      <w:r>
        <w:rPr>
          <w:sz w:val="24"/>
          <w:szCs w:val="24"/>
        </w:rPr>
        <w:t xml:space="preserve"> pour avoir accorder au PDG une rémunération excessive contre l’</w:t>
      </w:r>
      <w:r w:rsidR="009536F7">
        <w:rPr>
          <w:sz w:val="24"/>
          <w:szCs w:val="24"/>
        </w:rPr>
        <w:t>intérêt</w:t>
      </w:r>
      <w:r>
        <w:rPr>
          <w:sz w:val="24"/>
          <w:szCs w:val="24"/>
        </w:rPr>
        <w:t xml:space="preserve"> de la société.</w:t>
      </w:r>
    </w:p>
    <w:p w:rsidR="003A40B4" w:rsidRPr="003A40B4" w:rsidRDefault="003A40B4" w:rsidP="003A40B4">
      <w:pPr>
        <w:spacing w:line="360" w:lineRule="auto"/>
        <w:ind w:left="708"/>
        <w:jc w:val="both"/>
        <w:rPr>
          <w:sz w:val="24"/>
          <w:szCs w:val="24"/>
        </w:rPr>
      </w:pPr>
    </w:p>
    <w:p w:rsidR="003A40B4" w:rsidRPr="003A40B4" w:rsidRDefault="003A40B4" w:rsidP="003A40B4">
      <w:pPr>
        <w:spacing w:line="360" w:lineRule="auto"/>
        <w:ind w:left="360"/>
        <w:jc w:val="both"/>
        <w:rPr>
          <w:sz w:val="24"/>
          <w:szCs w:val="24"/>
        </w:rPr>
      </w:pPr>
    </w:p>
    <w:p w:rsidR="00C91FEE" w:rsidRDefault="00C91FEE"/>
    <w:sectPr w:rsidR="00C91FEE" w:rsidSect="006A25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ECA" w:rsidRDefault="000C7ECA" w:rsidP="00040F39">
      <w:pPr>
        <w:spacing w:after="0" w:line="240" w:lineRule="auto"/>
      </w:pPr>
      <w:r>
        <w:separator/>
      </w:r>
    </w:p>
  </w:endnote>
  <w:endnote w:type="continuationSeparator" w:id="1">
    <w:p w:rsidR="000C7ECA" w:rsidRDefault="000C7ECA" w:rsidP="00040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10" w:rsidRPr="00481D10" w:rsidRDefault="00F57057" w:rsidP="00CC247D">
    <w:pPr>
      <w:pStyle w:val="Pieddepage"/>
      <w:pBdr>
        <w:top w:val="single" w:sz="4" w:space="1" w:color="A5A5A5" w:themeColor="background1" w:themeShade="A5"/>
      </w:pBdr>
      <w:jc w:val="right"/>
      <w:rPr>
        <w:b/>
        <w:bCs/>
      </w:rPr>
    </w:pPr>
    <w:sdt>
      <w:sdtPr>
        <w:rPr>
          <w:b/>
          <w:bCs/>
          <w:noProof/>
        </w:rPr>
        <w:alias w:val="Société"/>
        <w:id w:val="76117946"/>
        <w:showingPlcHdr/>
        <w:dataBinding w:prefixMappings="xmlns:ns0='http://schemas.openxmlformats.org/officeDocument/2006/extended-properties'" w:xpath="/ns0:Properties[1]/ns0:Company[1]" w:storeItemID="{6668398D-A668-4E3E-A5EB-62B293D839F1}"/>
        <w:text/>
      </w:sdtPr>
      <w:sdtContent>
        <w:r w:rsidR="00ED719E">
          <w:rPr>
            <w:b/>
            <w:bCs/>
            <w:noProof/>
          </w:rPr>
          <w:t xml:space="preserve">     </w:t>
        </w:r>
      </w:sdtContent>
    </w:sdt>
    <w:r w:rsidR="00481D10" w:rsidRPr="00481D10">
      <w:rPr>
        <w:b/>
        <w:bCs/>
      </w:rPr>
      <w:t xml:space="preserve"> | </w:t>
    </w:r>
  </w:p>
  <w:p w:rsidR="00481D10" w:rsidRDefault="00481D10" w:rsidP="009536F7">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ECA" w:rsidRDefault="000C7ECA" w:rsidP="00040F39">
      <w:pPr>
        <w:spacing w:after="0" w:line="240" w:lineRule="auto"/>
      </w:pPr>
      <w:r>
        <w:separator/>
      </w:r>
    </w:p>
  </w:footnote>
  <w:footnote w:type="continuationSeparator" w:id="1">
    <w:p w:rsidR="000C7ECA" w:rsidRDefault="000C7ECA" w:rsidP="00040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Pr>
      <w:alias w:val="Titre"/>
      <w:id w:val="77807649"/>
      <w:placeholder>
        <w:docPart w:val="63F6403E2F774490A528C016869D0DAC"/>
      </w:placeholder>
      <w:dataBinding w:prefixMappings="xmlns:ns0='http://schemas.openxmlformats.org/package/2006/metadata/core-properties' xmlns:ns1='http://purl.org/dc/elements/1.1/'" w:xpath="/ns0:coreProperties[1]/ns1:title[1]" w:storeItemID="{6C3C8BC8-F283-45AE-878A-BAB7291924A1}"/>
      <w:text/>
    </w:sdtPr>
    <w:sdtContent>
      <w:p w:rsidR="00CC247D" w:rsidRPr="00CC247D" w:rsidRDefault="00CC247D" w:rsidP="00CC247D">
        <w:pPr>
          <w:pStyle w:val="En-tte"/>
          <w:tabs>
            <w:tab w:val="left" w:pos="2580"/>
            <w:tab w:val="left" w:pos="2985"/>
          </w:tabs>
          <w:spacing w:after="120" w:line="276" w:lineRule="auto"/>
          <w:rPr>
            <w:b/>
            <w:bCs/>
            <w:sz w:val="28"/>
            <w:szCs w:val="28"/>
          </w:rPr>
        </w:pPr>
        <w:r w:rsidRPr="00CC247D">
          <w:rPr>
            <w:b/>
            <w:bCs/>
            <w:sz w:val="24"/>
            <w:szCs w:val="24"/>
          </w:rPr>
          <w:t>Droit pénal des affaires</w:t>
        </w:r>
      </w:p>
    </w:sdtContent>
  </w:sdt>
  <w:sdt>
    <w:sdtPr>
      <w:rPr>
        <w:b/>
        <w:bCs/>
        <w:sz w:val="24"/>
        <w:szCs w:val="24"/>
      </w:rPr>
      <w:alias w:val="Sous-titre"/>
      <w:id w:val="77807653"/>
      <w:placeholder>
        <w:docPart w:val="7A87D768894E4D3196B08B800D4B4DED"/>
      </w:placeholder>
      <w:dataBinding w:prefixMappings="xmlns:ns0='http://schemas.openxmlformats.org/package/2006/metadata/core-properties' xmlns:ns1='http://purl.org/dc/elements/1.1/'" w:xpath="/ns0:coreProperties[1]/ns1:subject[1]" w:storeItemID="{6C3C8BC8-F283-45AE-878A-BAB7291924A1}"/>
      <w:text/>
    </w:sdtPr>
    <w:sdtContent>
      <w:p w:rsidR="00CC247D" w:rsidRPr="00CC247D" w:rsidRDefault="00ED719E" w:rsidP="00CC247D">
        <w:pPr>
          <w:pStyle w:val="En-tte"/>
          <w:tabs>
            <w:tab w:val="left" w:pos="2580"/>
            <w:tab w:val="left" w:pos="2985"/>
          </w:tabs>
          <w:spacing w:after="120" w:line="276" w:lineRule="auto"/>
          <w:rPr>
            <w:b/>
            <w:bCs/>
          </w:rPr>
        </w:pPr>
        <w:r>
          <w:rPr>
            <w:b/>
            <w:bCs/>
            <w:sz w:val="24"/>
            <w:szCs w:val="24"/>
          </w:rPr>
          <w:t>Compte rendu : Consultation</w:t>
        </w:r>
      </w:p>
    </w:sdtContent>
  </w:sdt>
  <w:p w:rsidR="00CC247D" w:rsidRPr="00CC247D" w:rsidRDefault="00CC247D">
    <w:pPr>
      <w:pStyle w:val="En-tte"/>
      <w:pBdr>
        <w:bottom w:val="single" w:sz="4" w:space="1" w:color="A5A5A5" w:themeColor="background1" w:themeShade="A5"/>
      </w:pBdr>
      <w:tabs>
        <w:tab w:val="left" w:pos="2580"/>
        <w:tab w:val="left" w:pos="2985"/>
      </w:tabs>
      <w:spacing w:after="120" w:line="276" w:lineRule="auto"/>
      <w:rPr>
        <w:color w:val="808080" w:themeColor="text1" w:themeTint="7F"/>
        <w:sz w:val="2"/>
        <w:szCs w:val="2"/>
      </w:rPr>
    </w:pPr>
  </w:p>
  <w:sdt>
    <w:sdtPr>
      <w:id w:val="9057463"/>
      <w:docPartObj>
        <w:docPartGallery w:val="Page Numbers (Margins)"/>
        <w:docPartUnique/>
      </w:docPartObj>
    </w:sdtPr>
    <w:sdtContent>
      <w:p w:rsidR="009536F7" w:rsidRPr="00CC247D" w:rsidRDefault="00F57057">
        <w:pPr>
          <w:pStyle w:val="En-tte"/>
          <w:rPr>
            <w:sz w:val="8"/>
            <w:szCs w:val="8"/>
          </w:rPr>
        </w:pPr>
        <w:r w:rsidRPr="00F57057">
          <w:rPr>
            <w:noProof/>
            <w:lang w:eastAsia="zh-TW"/>
          </w:rPr>
          <w:pict>
            <v:group id="_x0000_s4110" style="position:absolute;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111" type="#_x0000_t202" style="position:absolute;left:689;top:3263;width:769;height:360;v-text-anchor:middle" filled="f" stroked="f">
                <v:textbox style="mso-next-textbox:#_x0000_s4111" inset="0,0,0,0">
                  <w:txbxContent>
                    <w:p w:rsidR="009536F7" w:rsidRDefault="00F57057">
                      <w:pPr>
                        <w:pStyle w:val="En-tte"/>
                        <w:jc w:val="center"/>
                      </w:pPr>
                      <w:fldSimple w:instr=" PAGE    \* MERGEFORMAT ">
                        <w:r w:rsidR="00ED719E" w:rsidRPr="00ED719E">
                          <w:rPr>
                            <w:rStyle w:val="Numrodepage"/>
                            <w:b/>
                            <w:noProof/>
                            <w:color w:val="3F3151" w:themeColor="accent4" w:themeShade="7F"/>
                            <w:sz w:val="16"/>
                            <w:szCs w:val="16"/>
                          </w:rPr>
                          <w:t>1</w:t>
                        </w:r>
                      </w:fldSimple>
                    </w:p>
                  </w:txbxContent>
                </v:textbox>
              </v:shape>
              <v:group id="_x0000_s4112" style="position:absolute;left:886;top:3255;width:374;height:374" coordorigin="1453,14832" coordsize="374,374">
                <v:oval id="_x0000_s4113" style="position:absolute;left:1453;top:14832;width:374;height:374" filled="f" strokecolor="#7ba0cd [2420]" strokeweight=".5pt"/>
                <v:oval id="_x0000_s4114" style="position:absolute;left:1462;top:14835;width:101;height:101" fillcolor="#7ba0cd [2420]" stroked="f"/>
              </v:group>
              <w10:wrap anchorx="page"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62564"/>
    <w:multiLevelType w:val="hybridMultilevel"/>
    <w:tmpl w:val="4A6468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BBE48DE"/>
    <w:multiLevelType w:val="hybridMultilevel"/>
    <w:tmpl w:val="27BA6584"/>
    <w:lvl w:ilvl="0" w:tplc="1B362A5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1FEE"/>
    <w:rsid w:val="00040F39"/>
    <w:rsid w:val="0008509E"/>
    <w:rsid w:val="00086957"/>
    <w:rsid w:val="000C7ECA"/>
    <w:rsid w:val="002566D5"/>
    <w:rsid w:val="002C1E9B"/>
    <w:rsid w:val="003A40B4"/>
    <w:rsid w:val="003A6947"/>
    <w:rsid w:val="00454346"/>
    <w:rsid w:val="00481D10"/>
    <w:rsid w:val="004C469F"/>
    <w:rsid w:val="0058120F"/>
    <w:rsid w:val="006A258D"/>
    <w:rsid w:val="00784808"/>
    <w:rsid w:val="007A463B"/>
    <w:rsid w:val="008406C1"/>
    <w:rsid w:val="00934B2F"/>
    <w:rsid w:val="009508B8"/>
    <w:rsid w:val="009536F7"/>
    <w:rsid w:val="00A64887"/>
    <w:rsid w:val="00B53815"/>
    <w:rsid w:val="00BD30CA"/>
    <w:rsid w:val="00C91FEE"/>
    <w:rsid w:val="00CC247D"/>
    <w:rsid w:val="00DD565B"/>
    <w:rsid w:val="00DE7C67"/>
    <w:rsid w:val="00ED719E"/>
    <w:rsid w:val="00EF704E"/>
    <w:rsid w:val="00F50524"/>
    <w:rsid w:val="00F57057"/>
    <w:rsid w:val="00FD65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40B4"/>
    <w:pPr>
      <w:ind w:left="720"/>
      <w:contextualSpacing/>
    </w:pPr>
  </w:style>
  <w:style w:type="paragraph" w:styleId="En-tte">
    <w:name w:val="header"/>
    <w:basedOn w:val="Normal"/>
    <w:link w:val="En-tteCar"/>
    <w:uiPriority w:val="99"/>
    <w:unhideWhenUsed/>
    <w:rsid w:val="00040F39"/>
    <w:pPr>
      <w:tabs>
        <w:tab w:val="center" w:pos="4536"/>
        <w:tab w:val="right" w:pos="9072"/>
      </w:tabs>
      <w:spacing w:after="0" w:line="240" w:lineRule="auto"/>
    </w:pPr>
  </w:style>
  <w:style w:type="character" w:customStyle="1" w:styleId="En-tteCar">
    <w:name w:val="En-tête Car"/>
    <w:basedOn w:val="Policepardfaut"/>
    <w:link w:val="En-tte"/>
    <w:uiPriority w:val="99"/>
    <w:rsid w:val="00040F39"/>
  </w:style>
  <w:style w:type="paragraph" w:styleId="Pieddepage">
    <w:name w:val="footer"/>
    <w:basedOn w:val="Normal"/>
    <w:link w:val="PieddepageCar"/>
    <w:uiPriority w:val="99"/>
    <w:unhideWhenUsed/>
    <w:rsid w:val="00040F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F39"/>
  </w:style>
  <w:style w:type="paragraph" w:styleId="Textedebulles">
    <w:name w:val="Balloon Text"/>
    <w:basedOn w:val="Normal"/>
    <w:link w:val="TextedebullesCar"/>
    <w:uiPriority w:val="99"/>
    <w:semiHidden/>
    <w:unhideWhenUsed/>
    <w:rsid w:val="00040F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F39"/>
    <w:rPr>
      <w:rFonts w:ascii="Tahoma" w:hAnsi="Tahoma" w:cs="Tahoma"/>
      <w:sz w:val="16"/>
      <w:szCs w:val="16"/>
    </w:rPr>
  </w:style>
  <w:style w:type="character" w:styleId="Numrodepage">
    <w:name w:val="page number"/>
    <w:basedOn w:val="Policepardfaut"/>
    <w:uiPriority w:val="99"/>
    <w:unhideWhenUsed/>
    <w:rsid w:val="009536F7"/>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F6403E2F774490A528C016869D0DAC"/>
        <w:category>
          <w:name w:val="Général"/>
          <w:gallery w:val="placeholder"/>
        </w:category>
        <w:types>
          <w:type w:val="bbPlcHdr"/>
        </w:types>
        <w:behaviors>
          <w:behavior w:val="content"/>
        </w:behaviors>
        <w:guid w:val="{787F1115-1E2D-4DF0-913B-CD7A85F72760}"/>
      </w:docPartPr>
      <w:docPartBody>
        <w:p w:rsidR="0084566A" w:rsidRDefault="007311F0" w:rsidP="007311F0">
          <w:pPr>
            <w:pStyle w:val="63F6403E2F774490A528C016869D0DAC"/>
          </w:pPr>
          <w:r>
            <w:rPr>
              <w:b/>
              <w:bCs/>
              <w:color w:val="1F497D" w:themeColor="text2"/>
              <w:sz w:val="28"/>
              <w:szCs w:val="28"/>
            </w:rPr>
            <w:t>[Tapez le titre du document]</w:t>
          </w:r>
        </w:p>
      </w:docPartBody>
    </w:docPart>
    <w:docPart>
      <w:docPartPr>
        <w:name w:val="7A87D768894E4D3196B08B800D4B4DED"/>
        <w:category>
          <w:name w:val="Général"/>
          <w:gallery w:val="placeholder"/>
        </w:category>
        <w:types>
          <w:type w:val="bbPlcHdr"/>
        </w:types>
        <w:behaviors>
          <w:behavior w:val="content"/>
        </w:behaviors>
        <w:guid w:val="{0A950709-E44A-4E98-BC55-0D17C42A78F9}"/>
      </w:docPartPr>
      <w:docPartBody>
        <w:p w:rsidR="0084566A" w:rsidRDefault="007311F0" w:rsidP="007311F0">
          <w:pPr>
            <w:pStyle w:val="7A87D768894E4D3196B08B800D4B4DED"/>
          </w:pPr>
          <w:r>
            <w:rPr>
              <w:color w:val="4F81BD" w:themeColor="accent1"/>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378E2"/>
    <w:rsid w:val="0018244C"/>
    <w:rsid w:val="003C66D3"/>
    <w:rsid w:val="007311F0"/>
    <w:rsid w:val="00811A42"/>
    <w:rsid w:val="0084566A"/>
    <w:rsid w:val="00B378E2"/>
    <w:rsid w:val="00E065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4299B370D4F47B2B2F2D0FCF9B1AA51">
    <w:name w:val="84299B370D4F47B2B2F2D0FCF9B1AA51"/>
    <w:rsid w:val="00B378E2"/>
  </w:style>
  <w:style w:type="paragraph" w:customStyle="1" w:styleId="6986C42F92494F339C36F127231361FB">
    <w:name w:val="6986C42F92494F339C36F127231361FB"/>
    <w:rsid w:val="00B378E2"/>
  </w:style>
  <w:style w:type="paragraph" w:customStyle="1" w:styleId="9EBB51518E4F4A38AC4BD1176A997554">
    <w:name w:val="9EBB51518E4F4A38AC4BD1176A997554"/>
    <w:rsid w:val="00B378E2"/>
  </w:style>
  <w:style w:type="paragraph" w:customStyle="1" w:styleId="34EA1852BB8C4C64A80E5FE4A43867F3">
    <w:name w:val="34EA1852BB8C4C64A80E5FE4A43867F3"/>
    <w:rsid w:val="007311F0"/>
  </w:style>
  <w:style w:type="paragraph" w:customStyle="1" w:styleId="FF6008B9D7814C2A9DF5D813CF118622">
    <w:name w:val="FF6008B9D7814C2A9DF5D813CF118622"/>
    <w:rsid w:val="007311F0"/>
  </w:style>
  <w:style w:type="paragraph" w:customStyle="1" w:styleId="63F6403E2F774490A528C016869D0DAC">
    <w:name w:val="63F6403E2F774490A528C016869D0DAC"/>
    <w:rsid w:val="007311F0"/>
  </w:style>
  <w:style w:type="paragraph" w:customStyle="1" w:styleId="7A87D768894E4D3196B08B800D4B4DED">
    <w:name w:val="7A87D768894E4D3196B08B800D4B4DED"/>
    <w:rsid w:val="007311F0"/>
  </w:style>
  <w:style w:type="paragraph" w:customStyle="1" w:styleId="051161F7BF434710A59C7BF07BDB8B34">
    <w:name w:val="051161F7BF434710A59C7BF07BDB8B34"/>
    <w:rsid w:val="007311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CES Révision Comptable M2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94664-D5B1-46B6-B1DE-F14711C3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Droit pénal des affaires</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 pénal des affaires</dc:title>
  <dc:subject>Compte rendu : Consultation</dc:subject>
  <dc:creator>MARRAKCHI ZIED      CES Révision Comptable</dc:creator>
  <cp:keywords/>
  <dc:description/>
  <cp:lastModifiedBy>x</cp:lastModifiedBy>
  <cp:revision>12</cp:revision>
  <cp:lastPrinted>2014-01-13T12:33:00Z</cp:lastPrinted>
  <dcterms:created xsi:type="dcterms:W3CDTF">2014-01-13T09:37:00Z</dcterms:created>
  <dcterms:modified xsi:type="dcterms:W3CDTF">2015-10-22T21:44:00Z</dcterms:modified>
</cp:coreProperties>
</file>