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2" w:rsidRDefault="006B3C4F" w:rsidP="00582DD1">
      <w:pPr>
        <w:spacing w:line="480" w:lineRule="auto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sz w:val="44"/>
          <w:szCs w:val="44"/>
        </w:rPr>
        <w:t xml:space="preserve">CAS </w:t>
      </w:r>
      <w:r w:rsidR="000B3264">
        <w:rPr>
          <w:b/>
          <w:bCs/>
          <w:sz w:val="44"/>
          <w:szCs w:val="44"/>
        </w:rPr>
        <w:t>N°</w:t>
      </w:r>
      <w:r w:rsidR="00D252ED">
        <w:rPr>
          <w:b/>
          <w:bCs/>
          <w:sz w:val="44"/>
          <w:szCs w:val="44"/>
        </w:rPr>
        <w:t xml:space="preserve"> 2</w:t>
      </w:r>
      <w:r w:rsidR="0093150D">
        <w:rPr>
          <w:b/>
          <w:bCs/>
          <w:sz w:val="44"/>
          <w:szCs w:val="44"/>
        </w:rPr>
        <w:t> :</w:t>
      </w:r>
      <w:r w:rsidR="006F2876">
        <w:rPr>
          <w:b/>
          <w:bCs/>
          <w:sz w:val="44"/>
          <w:szCs w:val="44"/>
        </w:rPr>
        <w:t xml:space="preserve"> LA SOCIÉTÉ </w:t>
      </w:r>
      <w:r w:rsidR="006F2876" w:rsidRPr="009A53A2">
        <w:rPr>
          <w:b/>
          <w:bCs/>
          <w:i/>
          <w:iCs/>
          <w:sz w:val="44"/>
          <w:szCs w:val="44"/>
        </w:rPr>
        <w:t>« </w:t>
      </w:r>
      <w:r w:rsidR="00582DD1">
        <w:rPr>
          <w:b/>
          <w:bCs/>
          <w:i/>
          <w:iCs/>
          <w:sz w:val="44"/>
          <w:szCs w:val="44"/>
        </w:rPr>
        <w:t>ABC</w:t>
      </w:r>
      <w:r w:rsidR="006F2876" w:rsidRPr="009A53A2">
        <w:rPr>
          <w:b/>
          <w:bCs/>
          <w:i/>
          <w:iCs/>
          <w:sz w:val="44"/>
          <w:szCs w:val="44"/>
        </w:rPr>
        <w:t> »</w:t>
      </w:r>
    </w:p>
    <w:p w:rsidR="00D117A8" w:rsidRPr="006C676D" w:rsidRDefault="00D117A8" w:rsidP="00DD39C5">
      <w:pPr>
        <w:pStyle w:val="Paragraphedeliste"/>
        <w:numPr>
          <w:ilvl w:val="0"/>
          <w:numId w:val="39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117A8">
        <w:rPr>
          <w:rFonts w:asciiTheme="majorHAnsi" w:hAnsiTheme="majorHAnsi"/>
          <w:sz w:val="24"/>
          <w:szCs w:val="24"/>
        </w:rPr>
        <w:t>Affecté au département fiscal d’un cabinet d’expertise comptable, vous êtes chargé(e) de calculer la charge fiscale</w:t>
      </w:r>
      <w:r w:rsidR="00DD39C5">
        <w:rPr>
          <w:rFonts w:asciiTheme="majorHAnsi" w:hAnsiTheme="majorHAnsi"/>
          <w:sz w:val="24"/>
          <w:szCs w:val="24"/>
        </w:rPr>
        <w:t xml:space="preserve"> au titre de l’exercice 2012</w:t>
      </w:r>
      <w:r w:rsidRPr="00D117A8">
        <w:rPr>
          <w:rFonts w:asciiTheme="majorHAnsi" w:hAnsiTheme="majorHAnsi"/>
          <w:sz w:val="24"/>
          <w:szCs w:val="24"/>
        </w:rPr>
        <w:t xml:space="preserve"> de la société anonyme </w:t>
      </w:r>
      <w:r w:rsidRPr="00D117A8">
        <w:rPr>
          <w:rFonts w:asciiTheme="majorHAnsi" w:hAnsiTheme="majorHAnsi"/>
          <w:b/>
          <w:bCs/>
          <w:sz w:val="24"/>
          <w:szCs w:val="24"/>
        </w:rPr>
        <w:t>« ABC »</w:t>
      </w:r>
      <w:r w:rsidRPr="00D117A8">
        <w:rPr>
          <w:rFonts w:asciiTheme="majorHAnsi" w:hAnsiTheme="majorHAnsi"/>
          <w:sz w:val="24"/>
          <w:szCs w:val="24"/>
        </w:rPr>
        <w:t xml:space="preserve"> qui exerce une activité</w:t>
      </w:r>
      <w:r>
        <w:rPr>
          <w:rFonts w:asciiTheme="majorHAnsi" w:hAnsiTheme="majorHAnsi"/>
          <w:sz w:val="24"/>
          <w:szCs w:val="24"/>
        </w:rPr>
        <w:t xml:space="preserve"> </w:t>
      </w:r>
      <w:r w:rsidR="009D1F2D">
        <w:rPr>
          <w:rFonts w:asciiTheme="majorHAnsi" w:hAnsiTheme="majorHAnsi"/>
          <w:sz w:val="24"/>
          <w:szCs w:val="24"/>
        </w:rPr>
        <w:t>industrielle</w:t>
      </w:r>
      <w:r w:rsidRPr="00D117A8">
        <w:rPr>
          <w:rFonts w:asciiTheme="majorHAnsi" w:hAnsiTheme="majorHAnsi"/>
          <w:sz w:val="24"/>
          <w:szCs w:val="24"/>
        </w:rPr>
        <w:t>.</w:t>
      </w:r>
      <w:r w:rsidR="006C676D">
        <w:rPr>
          <w:rFonts w:asciiTheme="majorHAnsi" w:hAnsiTheme="majorHAnsi"/>
          <w:sz w:val="24"/>
          <w:szCs w:val="24"/>
        </w:rPr>
        <w:t xml:space="preserve"> </w:t>
      </w:r>
      <w:r w:rsidRPr="006C676D">
        <w:rPr>
          <w:rFonts w:asciiTheme="majorHAnsi" w:hAnsiTheme="majorHAnsi"/>
          <w:sz w:val="24"/>
          <w:szCs w:val="24"/>
        </w:rPr>
        <w:t>En examinant le dossier comptable de la société</w:t>
      </w:r>
      <w:r w:rsidR="00DD39C5">
        <w:rPr>
          <w:rFonts w:asciiTheme="majorHAnsi" w:hAnsiTheme="majorHAnsi"/>
          <w:sz w:val="24"/>
          <w:szCs w:val="24"/>
        </w:rPr>
        <w:t xml:space="preserve">    </w:t>
      </w:r>
      <w:r w:rsidR="001E7208" w:rsidRPr="006C676D">
        <w:rPr>
          <w:rFonts w:asciiTheme="majorHAnsi" w:hAnsiTheme="majorHAnsi"/>
          <w:b/>
          <w:bCs/>
          <w:sz w:val="24"/>
          <w:szCs w:val="24"/>
        </w:rPr>
        <w:t>« ABC »</w:t>
      </w:r>
      <w:r w:rsidRPr="006C676D">
        <w:rPr>
          <w:rFonts w:asciiTheme="majorHAnsi" w:hAnsiTheme="majorHAnsi"/>
          <w:sz w:val="24"/>
          <w:szCs w:val="24"/>
        </w:rPr>
        <w:t>, vous relevez les points suivants :</w:t>
      </w:r>
    </w:p>
    <w:p w:rsidR="00E53C92" w:rsidRPr="006F2876" w:rsidRDefault="00AE2659" w:rsidP="00272F45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F2876">
        <w:rPr>
          <w:rFonts w:asciiTheme="majorHAnsi" w:hAnsiTheme="majorHAnsi"/>
          <w:sz w:val="24"/>
          <w:szCs w:val="24"/>
        </w:rPr>
        <w:t>Le comptable de la société a établi un projet de décompte fiscal faisant apparaitre</w:t>
      </w:r>
      <w:r w:rsidR="00D117A8">
        <w:rPr>
          <w:rFonts w:asciiTheme="majorHAnsi" w:hAnsiTheme="majorHAnsi"/>
          <w:sz w:val="24"/>
          <w:szCs w:val="24"/>
        </w:rPr>
        <w:t xml:space="preserve"> une perte comptable d’un montant de 20.000 TND et </w:t>
      </w:r>
      <w:r w:rsidRPr="006F2876">
        <w:rPr>
          <w:rFonts w:asciiTheme="majorHAnsi" w:hAnsiTheme="majorHAnsi"/>
          <w:sz w:val="24"/>
          <w:szCs w:val="24"/>
        </w:rPr>
        <w:t>un bénéfice fiscal avant avantage</w:t>
      </w:r>
      <w:r w:rsidR="00257CFE">
        <w:rPr>
          <w:rFonts w:asciiTheme="majorHAnsi" w:hAnsiTheme="majorHAnsi"/>
          <w:sz w:val="24"/>
          <w:szCs w:val="24"/>
        </w:rPr>
        <w:t>s</w:t>
      </w:r>
      <w:r w:rsidRPr="006F2876">
        <w:rPr>
          <w:rFonts w:asciiTheme="majorHAnsi" w:hAnsiTheme="majorHAnsi"/>
          <w:sz w:val="24"/>
          <w:szCs w:val="24"/>
        </w:rPr>
        <w:t xml:space="preserve"> fisca</w:t>
      </w:r>
      <w:r w:rsidR="00257CFE">
        <w:rPr>
          <w:rFonts w:asciiTheme="majorHAnsi" w:hAnsiTheme="majorHAnsi"/>
          <w:sz w:val="24"/>
          <w:szCs w:val="24"/>
        </w:rPr>
        <w:t>ux</w:t>
      </w:r>
      <w:r w:rsidRPr="006F2876">
        <w:rPr>
          <w:rFonts w:asciiTheme="majorHAnsi" w:hAnsiTheme="majorHAnsi"/>
          <w:sz w:val="24"/>
          <w:szCs w:val="24"/>
        </w:rPr>
        <w:t xml:space="preserve"> s’élevant à</w:t>
      </w:r>
      <w:r w:rsidR="00C11B77">
        <w:rPr>
          <w:rFonts w:asciiTheme="majorHAnsi" w:hAnsiTheme="majorHAnsi"/>
          <w:sz w:val="24"/>
          <w:szCs w:val="24"/>
        </w:rPr>
        <w:t xml:space="preserve"> </w:t>
      </w:r>
      <w:r w:rsidR="00272F45">
        <w:rPr>
          <w:rFonts w:asciiTheme="majorHAnsi" w:hAnsiTheme="majorHAnsi"/>
          <w:sz w:val="24"/>
          <w:szCs w:val="24"/>
        </w:rPr>
        <w:t>4</w:t>
      </w:r>
      <w:r w:rsidRPr="006F2876">
        <w:rPr>
          <w:rFonts w:asciiTheme="majorHAnsi" w:hAnsiTheme="majorHAnsi"/>
          <w:sz w:val="24"/>
          <w:szCs w:val="24"/>
        </w:rPr>
        <w:t>0.000 TND.</w:t>
      </w:r>
    </w:p>
    <w:p w:rsidR="00741829" w:rsidRDefault="00582DD1" w:rsidP="00B55391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Acquisition à un prix global</w:t>
      </w:r>
      <w:r w:rsidR="00741829">
        <w:rPr>
          <w:rFonts w:asciiTheme="majorHAnsi" w:hAnsiTheme="majorHAnsi"/>
          <w:sz w:val="24"/>
          <w:szCs w:val="24"/>
        </w:rPr>
        <w:t xml:space="preserve"> d’un ensemble immobilier le 01 février 2012 d’un montant de </w:t>
      </w:r>
      <w:r w:rsidR="003211BC">
        <w:rPr>
          <w:rFonts w:asciiTheme="majorHAnsi" w:hAnsiTheme="majorHAnsi"/>
          <w:sz w:val="24"/>
          <w:szCs w:val="24"/>
        </w:rPr>
        <w:t>12</w:t>
      </w:r>
      <w:r w:rsidR="00741829">
        <w:rPr>
          <w:rFonts w:asciiTheme="majorHAnsi" w:hAnsiTheme="majorHAnsi"/>
          <w:sz w:val="24"/>
          <w:szCs w:val="24"/>
        </w:rPr>
        <w:t>0.000 TND. Le comptable à</w:t>
      </w:r>
      <w:r w:rsidR="00E15A66">
        <w:rPr>
          <w:rFonts w:asciiTheme="majorHAnsi" w:hAnsiTheme="majorHAnsi"/>
          <w:sz w:val="24"/>
          <w:szCs w:val="24"/>
        </w:rPr>
        <w:t xml:space="preserve"> passer </w:t>
      </w:r>
      <w:r w:rsidR="00741829">
        <w:rPr>
          <w:rFonts w:asciiTheme="majorHAnsi" w:hAnsiTheme="majorHAnsi"/>
          <w:sz w:val="24"/>
          <w:szCs w:val="24"/>
        </w:rPr>
        <w:t>une dotation au</w:t>
      </w:r>
      <w:r w:rsidR="003211BC">
        <w:rPr>
          <w:rFonts w:asciiTheme="majorHAnsi" w:hAnsiTheme="majorHAnsi"/>
          <w:sz w:val="24"/>
          <w:szCs w:val="24"/>
        </w:rPr>
        <w:t>x</w:t>
      </w:r>
      <w:r w:rsidR="00741829">
        <w:rPr>
          <w:rFonts w:asciiTheme="majorHAnsi" w:hAnsiTheme="majorHAnsi"/>
          <w:sz w:val="24"/>
          <w:szCs w:val="24"/>
        </w:rPr>
        <w:t xml:space="preserve"> </w:t>
      </w:r>
      <w:r w:rsidR="003211BC">
        <w:rPr>
          <w:rFonts w:asciiTheme="majorHAnsi" w:hAnsiTheme="majorHAnsi"/>
          <w:sz w:val="24"/>
          <w:szCs w:val="24"/>
        </w:rPr>
        <w:t>amortissements</w:t>
      </w:r>
      <w:r w:rsidR="00741829">
        <w:rPr>
          <w:rFonts w:asciiTheme="majorHAnsi" w:hAnsiTheme="majorHAnsi"/>
          <w:sz w:val="24"/>
          <w:szCs w:val="24"/>
        </w:rPr>
        <w:t xml:space="preserve"> d’un montant </w:t>
      </w:r>
      <w:r w:rsidR="003211BC">
        <w:rPr>
          <w:rFonts w:asciiTheme="majorHAnsi" w:hAnsiTheme="majorHAnsi"/>
          <w:sz w:val="24"/>
          <w:szCs w:val="24"/>
        </w:rPr>
        <w:t>6</w:t>
      </w:r>
      <w:r w:rsidR="00741829">
        <w:rPr>
          <w:rFonts w:asciiTheme="majorHAnsi" w:hAnsiTheme="majorHAnsi"/>
          <w:sz w:val="24"/>
          <w:szCs w:val="24"/>
        </w:rPr>
        <w:t>.000 TND.</w:t>
      </w:r>
      <w:r w:rsidR="00B55391">
        <w:rPr>
          <w:rFonts w:asciiTheme="majorHAnsi" w:hAnsiTheme="majorHAnsi"/>
          <w:sz w:val="24"/>
          <w:szCs w:val="24"/>
        </w:rPr>
        <w:t xml:space="preserve"> </w:t>
      </w:r>
    </w:p>
    <w:p w:rsidR="00741829" w:rsidRPr="00C11B77" w:rsidRDefault="00C11B77" w:rsidP="00C11B77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741829" w:rsidRPr="00C11B77">
        <w:rPr>
          <w:rFonts w:asciiTheme="majorHAnsi" w:hAnsiTheme="majorHAnsi"/>
          <w:sz w:val="24"/>
          <w:szCs w:val="24"/>
        </w:rPr>
        <w:t>Les données suivantes sont disponible</w:t>
      </w:r>
      <w:r w:rsidR="00E15A66" w:rsidRPr="00C11B77">
        <w:rPr>
          <w:rFonts w:asciiTheme="majorHAnsi" w:hAnsiTheme="majorHAnsi"/>
          <w:sz w:val="24"/>
          <w:szCs w:val="24"/>
        </w:rPr>
        <w:t>s</w:t>
      </w:r>
      <w:r w:rsidR="00741829" w:rsidRPr="00C11B77">
        <w:rPr>
          <w:rFonts w:asciiTheme="majorHAnsi" w:hAnsiTheme="majorHAnsi"/>
          <w:sz w:val="24"/>
          <w:szCs w:val="24"/>
        </w:rPr>
        <w:t> : Juste valeur</w:t>
      </w:r>
      <w:r>
        <w:rPr>
          <w:rFonts w:asciiTheme="majorHAnsi" w:hAnsiTheme="majorHAnsi"/>
          <w:sz w:val="24"/>
          <w:szCs w:val="24"/>
        </w:rPr>
        <w:t xml:space="preserve"> du</w:t>
      </w:r>
      <w:r w:rsidR="00741829" w:rsidRPr="00C11B77">
        <w:rPr>
          <w:rFonts w:asciiTheme="majorHAnsi" w:hAnsiTheme="majorHAnsi"/>
          <w:sz w:val="24"/>
          <w:szCs w:val="24"/>
        </w:rPr>
        <w:t xml:space="preserve"> terrain = </w:t>
      </w:r>
      <w:r w:rsidR="003211BC" w:rsidRPr="00C11B77">
        <w:rPr>
          <w:rFonts w:asciiTheme="majorHAnsi" w:hAnsiTheme="majorHAnsi"/>
          <w:sz w:val="24"/>
          <w:szCs w:val="24"/>
        </w:rPr>
        <w:t>7</w:t>
      </w:r>
      <w:r w:rsidR="00741829" w:rsidRPr="00C11B77">
        <w:rPr>
          <w:rFonts w:asciiTheme="majorHAnsi" w:hAnsiTheme="majorHAnsi"/>
          <w:sz w:val="24"/>
          <w:szCs w:val="24"/>
        </w:rPr>
        <w:t>0.000 TND</w:t>
      </w:r>
    </w:p>
    <w:p w:rsidR="005B4A81" w:rsidRPr="005B4A81" w:rsidRDefault="00741829" w:rsidP="00C11B77">
      <w:pPr>
        <w:pStyle w:val="Paragraphedeliste"/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C11B77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Juste valeur</w:t>
      </w:r>
      <w:r w:rsidR="00C11B77">
        <w:rPr>
          <w:rFonts w:asciiTheme="majorHAnsi" w:hAnsiTheme="majorHAnsi"/>
          <w:sz w:val="24"/>
          <w:szCs w:val="24"/>
        </w:rPr>
        <w:t xml:space="preserve"> de la</w:t>
      </w:r>
      <w:r>
        <w:rPr>
          <w:rFonts w:asciiTheme="majorHAnsi" w:hAnsiTheme="majorHAnsi"/>
          <w:sz w:val="24"/>
          <w:szCs w:val="24"/>
        </w:rPr>
        <w:t xml:space="preserve"> construction = </w:t>
      </w:r>
      <w:r w:rsidR="003211BC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0.000 TND</w:t>
      </w:r>
    </w:p>
    <w:p w:rsidR="005B4A81" w:rsidRPr="00FD7D7C" w:rsidRDefault="005B4A81" w:rsidP="00C11B77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 d</w:t>
      </w:r>
      <w:r w:rsidR="00C11B77">
        <w:rPr>
          <w:rFonts w:asciiTheme="majorHAnsi" w:hAnsiTheme="majorHAnsi"/>
          <w:sz w:val="24"/>
          <w:szCs w:val="24"/>
        </w:rPr>
        <w:t>’une</w:t>
      </w:r>
      <w:r w:rsidRPr="00FD7D7C">
        <w:rPr>
          <w:rFonts w:asciiTheme="majorHAnsi" w:hAnsiTheme="majorHAnsi"/>
          <w:sz w:val="24"/>
          <w:szCs w:val="24"/>
        </w:rPr>
        <w:t xml:space="preserve"> </w:t>
      </w:r>
      <w:r w:rsidR="00C11B77">
        <w:rPr>
          <w:rFonts w:asciiTheme="majorHAnsi" w:hAnsiTheme="majorHAnsi"/>
          <w:sz w:val="24"/>
          <w:szCs w:val="24"/>
        </w:rPr>
        <w:t>perte</w:t>
      </w:r>
      <w:r w:rsidRPr="00FD7D7C">
        <w:rPr>
          <w:rFonts w:asciiTheme="majorHAnsi" w:hAnsiTheme="majorHAnsi"/>
          <w:sz w:val="24"/>
          <w:szCs w:val="24"/>
        </w:rPr>
        <w:t xml:space="preserve"> de </w:t>
      </w:r>
      <w:r w:rsidR="00C11B77" w:rsidRPr="00FD7D7C">
        <w:rPr>
          <w:rFonts w:asciiTheme="majorHAnsi" w:hAnsiTheme="majorHAnsi"/>
          <w:sz w:val="24"/>
          <w:szCs w:val="24"/>
        </w:rPr>
        <w:t>change latent</w:t>
      </w:r>
      <w:r w:rsidR="00C11B77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d’un montant </w:t>
      </w:r>
      <w:r w:rsidR="00C11B77">
        <w:rPr>
          <w:rFonts w:asciiTheme="majorHAnsi" w:hAnsiTheme="majorHAnsi"/>
          <w:sz w:val="24"/>
          <w:szCs w:val="24"/>
        </w:rPr>
        <w:t>de</w:t>
      </w:r>
      <w:r w:rsidRPr="00FD7D7C">
        <w:rPr>
          <w:rFonts w:asciiTheme="majorHAnsi" w:hAnsiTheme="majorHAnsi"/>
          <w:sz w:val="24"/>
          <w:szCs w:val="24"/>
        </w:rPr>
        <w:t xml:space="preserve"> </w:t>
      </w:r>
      <w:r w:rsidR="00582DD1">
        <w:rPr>
          <w:rFonts w:asciiTheme="majorHAnsi" w:hAnsiTheme="majorHAnsi"/>
          <w:sz w:val="24"/>
          <w:szCs w:val="24"/>
        </w:rPr>
        <w:t>2</w:t>
      </w:r>
      <w:r w:rsidRPr="00FD7D7C">
        <w:rPr>
          <w:rFonts w:asciiTheme="majorHAnsi" w:hAnsiTheme="majorHAnsi"/>
          <w:sz w:val="24"/>
          <w:szCs w:val="24"/>
        </w:rPr>
        <w:t xml:space="preserve">0.000 </w:t>
      </w:r>
      <w:r>
        <w:rPr>
          <w:rFonts w:asciiTheme="majorHAnsi" w:hAnsiTheme="majorHAnsi"/>
          <w:sz w:val="24"/>
          <w:szCs w:val="24"/>
        </w:rPr>
        <w:t>TND.</w:t>
      </w:r>
    </w:p>
    <w:p w:rsidR="006F2876" w:rsidRDefault="00582DD1" w:rsidP="00C11B77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comptabilisation d’une perte de 100.000 TND suite à un PV de carence établie en défaveur d’un client antérieurement provisionné pour le même montant. La société a comptabilisée, en plus, une </w:t>
      </w:r>
      <w:r w:rsidR="007039A7">
        <w:rPr>
          <w:rFonts w:asciiTheme="majorHAnsi" w:hAnsiTheme="majorHAnsi"/>
          <w:sz w:val="24"/>
          <w:szCs w:val="24"/>
        </w:rPr>
        <w:t xml:space="preserve">reprise sur provision pour créance douteuse d’un montant de </w:t>
      </w:r>
      <w:r>
        <w:rPr>
          <w:rFonts w:asciiTheme="majorHAnsi" w:hAnsiTheme="majorHAnsi"/>
          <w:sz w:val="24"/>
          <w:szCs w:val="24"/>
        </w:rPr>
        <w:t>10</w:t>
      </w:r>
      <w:r w:rsidR="007039A7">
        <w:rPr>
          <w:rFonts w:asciiTheme="majorHAnsi" w:hAnsiTheme="majorHAnsi"/>
          <w:sz w:val="24"/>
          <w:szCs w:val="24"/>
        </w:rPr>
        <w:t xml:space="preserve">0.000 TND se rapportant </w:t>
      </w:r>
      <w:r>
        <w:rPr>
          <w:rFonts w:asciiTheme="majorHAnsi" w:hAnsiTheme="majorHAnsi"/>
          <w:sz w:val="24"/>
          <w:szCs w:val="24"/>
        </w:rPr>
        <w:t>au dites</w:t>
      </w:r>
      <w:r w:rsidR="007039A7">
        <w:rPr>
          <w:rFonts w:asciiTheme="majorHAnsi" w:hAnsiTheme="majorHAnsi"/>
          <w:sz w:val="24"/>
          <w:szCs w:val="24"/>
        </w:rPr>
        <w:t xml:space="preserve"> provisions antérieurement </w:t>
      </w:r>
      <w:r>
        <w:rPr>
          <w:rFonts w:asciiTheme="majorHAnsi" w:hAnsiTheme="majorHAnsi"/>
          <w:sz w:val="24"/>
          <w:szCs w:val="24"/>
        </w:rPr>
        <w:t>réintégrées</w:t>
      </w:r>
      <w:r w:rsidR="007039A7">
        <w:rPr>
          <w:rFonts w:asciiTheme="majorHAnsi" w:hAnsiTheme="majorHAnsi"/>
          <w:sz w:val="24"/>
          <w:szCs w:val="24"/>
        </w:rPr>
        <w:t xml:space="preserve"> en totalité </w:t>
      </w:r>
      <w:r w:rsidR="00431024">
        <w:rPr>
          <w:rFonts w:asciiTheme="majorHAnsi" w:hAnsiTheme="majorHAnsi"/>
          <w:sz w:val="24"/>
          <w:szCs w:val="24"/>
        </w:rPr>
        <w:t>au</w:t>
      </w:r>
      <w:r w:rsidR="007039A7">
        <w:rPr>
          <w:rFonts w:asciiTheme="majorHAnsi" w:hAnsiTheme="majorHAnsi"/>
          <w:sz w:val="24"/>
          <w:szCs w:val="24"/>
        </w:rPr>
        <w:t xml:space="preserve"> résultat fiscal de l’année </w:t>
      </w:r>
      <w:r>
        <w:rPr>
          <w:rFonts w:asciiTheme="majorHAnsi" w:hAnsiTheme="majorHAnsi"/>
          <w:sz w:val="24"/>
          <w:szCs w:val="24"/>
        </w:rPr>
        <w:t>de constitution</w:t>
      </w:r>
      <w:r w:rsidR="007039A7">
        <w:rPr>
          <w:rFonts w:asciiTheme="majorHAnsi" w:hAnsiTheme="majorHAnsi"/>
          <w:sz w:val="24"/>
          <w:szCs w:val="24"/>
        </w:rPr>
        <w:t xml:space="preserve">. </w:t>
      </w:r>
    </w:p>
    <w:p w:rsidR="00431024" w:rsidRDefault="00431024" w:rsidP="00A66BEE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comptabilisation </w:t>
      </w:r>
      <w:r w:rsidR="00A66BEE">
        <w:rPr>
          <w:rFonts w:asciiTheme="majorHAnsi" w:hAnsiTheme="majorHAnsi"/>
          <w:sz w:val="24"/>
          <w:szCs w:val="24"/>
        </w:rPr>
        <w:t>parmi les charges l</w:t>
      </w:r>
      <w:r>
        <w:rPr>
          <w:rFonts w:asciiTheme="majorHAnsi" w:hAnsiTheme="majorHAnsi"/>
          <w:sz w:val="24"/>
          <w:szCs w:val="24"/>
        </w:rPr>
        <w:t xml:space="preserve">es frais de lancement d’un nouveau produit pour un montant de 300.000 TND, le département commercial vous </w:t>
      </w:r>
      <w:r w:rsidR="000525AC">
        <w:rPr>
          <w:rFonts w:asciiTheme="majorHAnsi" w:hAnsiTheme="majorHAnsi"/>
          <w:sz w:val="24"/>
          <w:szCs w:val="24"/>
        </w:rPr>
        <w:t>communique</w:t>
      </w:r>
      <w:r>
        <w:rPr>
          <w:rFonts w:asciiTheme="majorHAnsi" w:hAnsiTheme="majorHAnsi"/>
          <w:sz w:val="24"/>
          <w:szCs w:val="24"/>
        </w:rPr>
        <w:t xml:space="preserve"> les informations</w:t>
      </w:r>
      <w:r w:rsidR="00A66BEE">
        <w:rPr>
          <w:rFonts w:asciiTheme="majorHAnsi" w:hAnsiTheme="majorHAnsi"/>
          <w:sz w:val="24"/>
          <w:szCs w:val="24"/>
        </w:rPr>
        <w:t xml:space="preserve"> prévisionnelles</w:t>
      </w:r>
      <w:r>
        <w:rPr>
          <w:rFonts w:asciiTheme="majorHAnsi" w:hAnsiTheme="majorHAnsi"/>
          <w:sz w:val="24"/>
          <w:szCs w:val="24"/>
        </w:rPr>
        <w:t xml:space="preserve"> suivantes :</w:t>
      </w:r>
    </w:p>
    <w:tbl>
      <w:tblPr>
        <w:tblStyle w:val="Grilledutableau"/>
        <w:tblW w:w="8820" w:type="dxa"/>
        <w:tblInd w:w="360" w:type="dxa"/>
        <w:tblLook w:val="04A0"/>
      </w:tblPr>
      <w:tblGrid>
        <w:gridCol w:w="2583"/>
        <w:gridCol w:w="1559"/>
        <w:gridCol w:w="1559"/>
        <w:gridCol w:w="1560"/>
        <w:gridCol w:w="1559"/>
      </w:tblGrid>
      <w:tr w:rsidR="00431024" w:rsidTr="00431024">
        <w:tc>
          <w:tcPr>
            <w:tcW w:w="2583" w:type="dxa"/>
          </w:tcPr>
          <w:p w:rsidR="00431024" w:rsidRDefault="00431024" w:rsidP="00431024">
            <w:pPr>
              <w:spacing w:before="120" w:after="12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1024" w:rsidRPr="00C11B77" w:rsidRDefault="00431024" w:rsidP="00431024">
            <w:pPr>
              <w:spacing w:before="120" w:after="12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11B77">
              <w:rPr>
                <w:rFonts w:asciiTheme="majorHAnsi" w:hAnsiTheme="majorHAnsi"/>
                <w:b/>
                <w:bCs/>
              </w:rPr>
              <w:t>2013</w:t>
            </w:r>
          </w:p>
        </w:tc>
        <w:tc>
          <w:tcPr>
            <w:tcW w:w="1559" w:type="dxa"/>
            <w:vAlign w:val="center"/>
          </w:tcPr>
          <w:p w:rsidR="00431024" w:rsidRPr="00C11B77" w:rsidRDefault="00431024" w:rsidP="00431024">
            <w:pPr>
              <w:spacing w:before="120" w:after="12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11B77">
              <w:rPr>
                <w:rFonts w:asciiTheme="majorHAnsi" w:hAnsiTheme="majorHAnsi"/>
                <w:b/>
                <w:bCs/>
              </w:rPr>
              <w:t>2014</w:t>
            </w:r>
          </w:p>
        </w:tc>
        <w:tc>
          <w:tcPr>
            <w:tcW w:w="1560" w:type="dxa"/>
            <w:vAlign w:val="center"/>
          </w:tcPr>
          <w:p w:rsidR="00431024" w:rsidRPr="00C11B77" w:rsidRDefault="00431024" w:rsidP="00431024">
            <w:pPr>
              <w:spacing w:before="120" w:after="12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11B77">
              <w:rPr>
                <w:rFonts w:asciiTheme="majorHAnsi" w:hAnsiTheme="majorHAnsi"/>
                <w:b/>
                <w:bCs/>
              </w:rPr>
              <w:t>2015</w:t>
            </w:r>
          </w:p>
        </w:tc>
        <w:tc>
          <w:tcPr>
            <w:tcW w:w="1559" w:type="dxa"/>
            <w:vAlign w:val="center"/>
          </w:tcPr>
          <w:p w:rsidR="00431024" w:rsidRPr="00C11B77" w:rsidRDefault="00431024" w:rsidP="00431024">
            <w:pPr>
              <w:spacing w:before="120" w:after="12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11B77">
              <w:rPr>
                <w:rFonts w:asciiTheme="majorHAnsi" w:hAnsiTheme="majorHAnsi"/>
                <w:b/>
                <w:bCs/>
              </w:rPr>
              <w:t>2016</w:t>
            </w:r>
          </w:p>
        </w:tc>
      </w:tr>
      <w:tr w:rsidR="00431024" w:rsidTr="00431024">
        <w:tc>
          <w:tcPr>
            <w:tcW w:w="2583" w:type="dxa"/>
          </w:tcPr>
          <w:p w:rsidR="00431024" w:rsidRPr="00C11B77" w:rsidRDefault="00431024" w:rsidP="00431024">
            <w:pPr>
              <w:spacing w:before="120" w:after="120" w:line="36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1B77">
              <w:rPr>
                <w:rFonts w:asciiTheme="majorHAnsi" w:hAnsiTheme="majorHAnsi"/>
                <w:b/>
                <w:bCs/>
                <w:sz w:val="18"/>
                <w:szCs w:val="18"/>
              </w:rPr>
              <w:t>Chiffre d’affaire du produit</w:t>
            </w:r>
          </w:p>
        </w:tc>
        <w:tc>
          <w:tcPr>
            <w:tcW w:w="1559" w:type="dxa"/>
            <w:vAlign w:val="center"/>
          </w:tcPr>
          <w:p w:rsidR="00431024" w:rsidRDefault="00431024" w:rsidP="00431024">
            <w:pPr>
              <w:spacing w:before="120" w:after="12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40.000</w:t>
            </w:r>
          </w:p>
        </w:tc>
        <w:tc>
          <w:tcPr>
            <w:tcW w:w="1559" w:type="dxa"/>
            <w:vAlign w:val="center"/>
          </w:tcPr>
          <w:p w:rsidR="00431024" w:rsidRDefault="00431024" w:rsidP="00431024">
            <w:pPr>
              <w:spacing w:before="120" w:after="12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200.000</w:t>
            </w:r>
          </w:p>
        </w:tc>
        <w:tc>
          <w:tcPr>
            <w:tcW w:w="1560" w:type="dxa"/>
            <w:vAlign w:val="center"/>
          </w:tcPr>
          <w:p w:rsidR="00431024" w:rsidRDefault="00431024" w:rsidP="00431024">
            <w:pPr>
              <w:spacing w:before="120" w:after="12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220.000</w:t>
            </w:r>
          </w:p>
        </w:tc>
        <w:tc>
          <w:tcPr>
            <w:tcW w:w="1559" w:type="dxa"/>
            <w:vAlign w:val="center"/>
          </w:tcPr>
          <w:p w:rsidR="00431024" w:rsidRDefault="00431024" w:rsidP="00431024">
            <w:pPr>
              <w:spacing w:before="120" w:after="12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250.000</w:t>
            </w:r>
          </w:p>
        </w:tc>
      </w:tr>
    </w:tbl>
    <w:p w:rsidR="00E76CD6" w:rsidRPr="00E76CD6" w:rsidRDefault="00E76CD6" w:rsidP="00E76CD6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76CD6" w:rsidRPr="00E76CD6" w:rsidRDefault="00E76CD6" w:rsidP="00E76CD6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76CD6" w:rsidRPr="00E76CD6" w:rsidRDefault="00E76CD6" w:rsidP="00E76CD6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6B157F" w:rsidRDefault="00C2652E" w:rsidP="00C11B77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Le compte titre de participation contient un montant de 150.000 TND (1.500 action société </w:t>
      </w:r>
      <w:r w:rsidRPr="00A66BEE">
        <w:rPr>
          <w:rFonts w:asciiTheme="majorHAnsi" w:hAnsiTheme="majorHAnsi"/>
          <w:b/>
          <w:bCs/>
          <w:i/>
          <w:iCs/>
          <w:sz w:val="24"/>
          <w:szCs w:val="24"/>
        </w:rPr>
        <w:t>« ABC Gros »</w:t>
      </w:r>
      <w:r>
        <w:rPr>
          <w:rFonts w:asciiTheme="majorHAnsi" w:hAnsiTheme="majorHAnsi"/>
          <w:sz w:val="24"/>
          <w:szCs w:val="24"/>
        </w:rPr>
        <w:t xml:space="preserve"> d’une valeur nominale 100 TND l’action). </w:t>
      </w:r>
      <w:r w:rsidR="006B157F">
        <w:rPr>
          <w:rFonts w:asciiTheme="majorHAnsi" w:hAnsiTheme="majorHAnsi"/>
          <w:sz w:val="24"/>
          <w:szCs w:val="24"/>
        </w:rPr>
        <w:t>L’assemblé générale des actionnaires</w:t>
      </w:r>
      <w:r>
        <w:rPr>
          <w:rFonts w:asciiTheme="majorHAnsi" w:hAnsiTheme="majorHAnsi"/>
          <w:sz w:val="24"/>
          <w:szCs w:val="24"/>
        </w:rPr>
        <w:t xml:space="preserve"> de la société </w:t>
      </w:r>
      <w:r w:rsidRPr="00A66BEE">
        <w:rPr>
          <w:rFonts w:asciiTheme="majorHAnsi" w:hAnsiTheme="majorHAnsi"/>
          <w:b/>
          <w:bCs/>
          <w:i/>
          <w:iCs/>
          <w:sz w:val="24"/>
          <w:szCs w:val="24"/>
        </w:rPr>
        <w:t>« ABC Gros »</w:t>
      </w:r>
      <w:r>
        <w:rPr>
          <w:rFonts w:asciiTheme="majorHAnsi" w:hAnsiTheme="majorHAnsi"/>
          <w:sz w:val="24"/>
          <w:szCs w:val="24"/>
        </w:rPr>
        <w:t xml:space="preserve"> n’a pas statué sur les exercices 2010 et 2011, la direction de la société </w:t>
      </w:r>
      <w:r w:rsidR="006B157F">
        <w:rPr>
          <w:rFonts w:asciiTheme="majorHAnsi" w:hAnsiTheme="majorHAnsi"/>
          <w:sz w:val="24"/>
          <w:szCs w:val="24"/>
        </w:rPr>
        <w:t>décide la cession des dites actions</w:t>
      </w:r>
      <w:r w:rsidR="00E15A66">
        <w:rPr>
          <w:rFonts w:asciiTheme="majorHAnsi" w:hAnsiTheme="majorHAnsi"/>
          <w:sz w:val="24"/>
          <w:szCs w:val="24"/>
        </w:rPr>
        <w:t xml:space="preserve"> en date du</w:t>
      </w:r>
      <w:r w:rsidR="00C11B77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 20 avril 2012</w:t>
      </w:r>
      <w:r w:rsidR="006B157F">
        <w:rPr>
          <w:rFonts w:asciiTheme="majorHAnsi" w:hAnsiTheme="majorHAnsi"/>
          <w:sz w:val="24"/>
          <w:szCs w:val="24"/>
        </w:rPr>
        <w:t>, une moins value</w:t>
      </w:r>
      <w:r w:rsidR="00FB7A50">
        <w:rPr>
          <w:rFonts w:asciiTheme="majorHAnsi" w:hAnsiTheme="majorHAnsi"/>
          <w:sz w:val="24"/>
          <w:szCs w:val="24"/>
        </w:rPr>
        <w:t xml:space="preserve"> de cession</w:t>
      </w:r>
      <w:r w:rsidR="006B157F">
        <w:rPr>
          <w:rFonts w:asciiTheme="majorHAnsi" w:hAnsiTheme="majorHAnsi"/>
          <w:sz w:val="24"/>
          <w:szCs w:val="24"/>
        </w:rPr>
        <w:t xml:space="preserve"> de 15.000 TND a été comptabilisé</w:t>
      </w:r>
      <w:r w:rsidR="009D1F2D">
        <w:rPr>
          <w:rFonts w:asciiTheme="majorHAnsi" w:hAnsiTheme="majorHAnsi"/>
          <w:sz w:val="24"/>
          <w:szCs w:val="24"/>
        </w:rPr>
        <w:t>e</w:t>
      </w:r>
      <w:r w:rsidR="006B157F">
        <w:rPr>
          <w:rFonts w:asciiTheme="majorHAnsi" w:hAnsiTheme="majorHAnsi"/>
          <w:sz w:val="24"/>
          <w:szCs w:val="24"/>
        </w:rPr>
        <w:t>.</w:t>
      </w:r>
    </w:p>
    <w:p w:rsidR="006B157F" w:rsidRDefault="00F509D3" w:rsidP="00FB7A50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capitaux propres</w:t>
      </w:r>
      <w:r w:rsidR="006B157F">
        <w:rPr>
          <w:rFonts w:asciiTheme="majorHAnsi" w:hAnsiTheme="majorHAnsi"/>
          <w:sz w:val="24"/>
          <w:szCs w:val="24"/>
        </w:rPr>
        <w:t xml:space="preserve"> </w:t>
      </w:r>
      <w:r w:rsidR="00FB7A50">
        <w:rPr>
          <w:rFonts w:asciiTheme="majorHAnsi" w:hAnsiTheme="majorHAnsi"/>
          <w:sz w:val="24"/>
          <w:szCs w:val="24"/>
        </w:rPr>
        <w:t>relevés des états financiers arrêtés</w:t>
      </w:r>
      <w:r w:rsidR="006B157F">
        <w:rPr>
          <w:rFonts w:asciiTheme="majorHAnsi" w:hAnsiTheme="majorHAnsi"/>
          <w:sz w:val="24"/>
          <w:szCs w:val="24"/>
        </w:rPr>
        <w:t xml:space="preserve"> par le conseil d’administration de la société </w:t>
      </w:r>
      <w:r w:rsidR="006B157F" w:rsidRPr="00A66BEE">
        <w:rPr>
          <w:rFonts w:asciiTheme="majorHAnsi" w:hAnsiTheme="majorHAnsi"/>
          <w:b/>
          <w:bCs/>
          <w:i/>
          <w:iCs/>
          <w:sz w:val="24"/>
          <w:szCs w:val="24"/>
        </w:rPr>
        <w:t>« ABC Gros »</w:t>
      </w:r>
      <w:r w:rsidR="006B157F">
        <w:rPr>
          <w:rFonts w:asciiTheme="majorHAnsi" w:hAnsiTheme="majorHAnsi"/>
          <w:sz w:val="24"/>
          <w:szCs w:val="24"/>
        </w:rPr>
        <w:t>, pour l’exercice clos le</w:t>
      </w:r>
      <w:r w:rsidR="00FB7A50">
        <w:rPr>
          <w:rFonts w:asciiTheme="majorHAnsi" w:hAnsiTheme="majorHAnsi"/>
          <w:sz w:val="24"/>
          <w:szCs w:val="24"/>
        </w:rPr>
        <w:t xml:space="preserve">                                </w:t>
      </w:r>
      <w:r w:rsidR="006B157F">
        <w:rPr>
          <w:rFonts w:asciiTheme="majorHAnsi" w:hAnsiTheme="majorHAnsi"/>
          <w:sz w:val="24"/>
          <w:szCs w:val="24"/>
        </w:rPr>
        <w:t xml:space="preserve"> 31 décembre 2011, se présente</w:t>
      </w:r>
      <w:r w:rsidR="00FB7A50">
        <w:rPr>
          <w:rFonts w:asciiTheme="majorHAnsi" w:hAnsiTheme="majorHAnsi"/>
          <w:sz w:val="24"/>
          <w:szCs w:val="24"/>
        </w:rPr>
        <w:t>nt</w:t>
      </w:r>
      <w:r w:rsidR="006B157F">
        <w:rPr>
          <w:rFonts w:asciiTheme="majorHAnsi" w:hAnsiTheme="majorHAnsi"/>
          <w:sz w:val="24"/>
          <w:szCs w:val="24"/>
        </w:rPr>
        <w:t xml:space="preserve"> comme suit :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281"/>
        <w:gridCol w:w="1173"/>
        <w:gridCol w:w="1533"/>
        <w:gridCol w:w="1533"/>
      </w:tblGrid>
      <w:tr w:rsidR="00E15A66" w:rsidRPr="00E15A66" w:rsidTr="00E15A66">
        <w:trPr>
          <w:trHeight w:val="300"/>
        </w:trPr>
        <w:tc>
          <w:tcPr>
            <w:tcW w:w="528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Note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Exercice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Exercice</w:t>
            </w: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7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2010</w:t>
            </w: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Capitaux Propres et Passifs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    Capitaux propres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E15A66" w:rsidRPr="00E15A66" w:rsidTr="00E15A66">
        <w:trPr>
          <w:trHeight w:val="225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              Capital social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( 4</w:t>
            </w:r>
            <w:proofErr w:type="gramEnd"/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D117A8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300</w:t>
            </w:r>
            <w:r w:rsidR="00E15A66"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 xml:space="preserve"> 000,000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30 000,000</w:t>
            </w: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              Réserves légales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              Résultats reportés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( 4</w:t>
            </w:r>
            <w:proofErr w:type="gramEnd"/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1 194,818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 xml:space="preserve">               Autres réserves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Total des Capitaux propres avant le résultat de l’exercice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301 194,818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30 000,000</w:t>
            </w:r>
          </w:p>
        </w:tc>
      </w:tr>
      <w:tr w:rsidR="00E15A66" w:rsidRPr="00E15A66" w:rsidTr="00E15A66">
        <w:trPr>
          <w:trHeight w:val="18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ind w:firstLineChars="500" w:firstLine="904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15A66" w:rsidRPr="00E15A66" w:rsidTr="00E15A66">
        <w:trPr>
          <w:trHeight w:val="30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Résultat de l'exercice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93 553,586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1 194,818</w:t>
            </w:r>
          </w:p>
        </w:tc>
      </w:tr>
      <w:tr w:rsidR="00E15A66" w:rsidRPr="00E15A66" w:rsidTr="00E15A66">
        <w:trPr>
          <w:trHeight w:val="240"/>
        </w:trPr>
        <w:tc>
          <w:tcPr>
            <w:tcW w:w="5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15A66" w:rsidRPr="00E15A66" w:rsidTr="00E15A66">
        <w:trPr>
          <w:trHeight w:val="402"/>
        </w:trPr>
        <w:tc>
          <w:tcPr>
            <w:tcW w:w="5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66" w:rsidRPr="00E15A66" w:rsidRDefault="00E15A66" w:rsidP="00E15A66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 des capitaux propres avant affectation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15A66" w:rsidRPr="00E15A66" w:rsidRDefault="00E15A66" w:rsidP="00E15A66">
            <w:pPr>
              <w:spacing w:after="0" w:line="240" w:lineRule="auto"/>
              <w:ind w:firstLineChars="500" w:firstLine="904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394 748,404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15A66" w:rsidRPr="00E15A66" w:rsidRDefault="00E15A66" w:rsidP="00E15A66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15A66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eastAsia="fr-FR"/>
              </w:rPr>
              <w:t>31 194,818</w:t>
            </w:r>
          </w:p>
        </w:tc>
      </w:tr>
    </w:tbl>
    <w:p w:rsidR="003E7B81" w:rsidRDefault="00CB34EF" w:rsidP="00484336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Une perte de 50.000 TND est comptabilisée suite à l’annulation de la moitié des titre</w:t>
      </w:r>
      <w:r w:rsidR="00FB7A5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participation</w:t>
      </w:r>
      <w:r w:rsidR="003E7B81">
        <w:rPr>
          <w:rFonts w:asciiTheme="majorHAnsi" w:hAnsiTheme="majorHAnsi"/>
          <w:sz w:val="24"/>
          <w:szCs w:val="24"/>
        </w:rPr>
        <w:t xml:space="preserve"> que la société </w:t>
      </w:r>
      <w:r w:rsidR="003E7B81" w:rsidRPr="001E7208">
        <w:rPr>
          <w:rFonts w:asciiTheme="majorHAnsi" w:hAnsiTheme="majorHAnsi"/>
          <w:b/>
          <w:bCs/>
          <w:i/>
          <w:iCs/>
          <w:sz w:val="24"/>
          <w:szCs w:val="24"/>
        </w:rPr>
        <w:t>« ABC »</w:t>
      </w:r>
      <w:r w:rsidR="003E7B81">
        <w:rPr>
          <w:rFonts w:asciiTheme="majorHAnsi" w:hAnsiTheme="majorHAnsi"/>
          <w:sz w:val="24"/>
          <w:szCs w:val="24"/>
        </w:rPr>
        <w:t xml:space="preserve"> détient dans l</w:t>
      </w:r>
      <w:r w:rsidR="00FB7A50">
        <w:rPr>
          <w:rFonts w:asciiTheme="majorHAnsi" w:hAnsiTheme="majorHAnsi"/>
          <w:sz w:val="24"/>
          <w:szCs w:val="24"/>
        </w:rPr>
        <w:t>e</w:t>
      </w:r>
      <w:r w:rsidR="003E7B81">
        <w:rPr>
          <w:rFonts w:asciiTheme="majorHAnsi" w:hAnsiTheme="majorHAnsi"/>
          <w:sz w:val="24"/>
          <w:szCs w:val="24"/>
        </w:rPr>
        <w:t xml:space="preserve"> capital d’une entreprise </w:t>
      </w:r>
      <w:r w:rsidR="00FB7A50">
        <w:rPr>
          <w:rFonts w:asciiTheme="majorHAnsi" w:hAnsiTheme="majorHAnsi"/>
          <w:sz w:val="24"/>
          <w:szCs w:val="24"/>
        </w:rPr>
        <w:t xml:space="preserve">en difficulté économique </w:t>
      </w:r>
      <w:r w:rsidR="003E7B81">
        <w:rPr>
          <w:rFonts w:asciiTheme="majorHAnsi" w:hAnsiTheme="majorHAnsi"/>
          <w:sz w:val="24"/>
          <w:szCs w:val="24"/>
        </w:rPr>
        <w:t>régit par la loi</w:t>
      </w:r>
      <w:r w:rsidR="00484336">
        <w:rPr>
          <w:rFonts w:asciiTheme="majorHAnsi" w:hAnsiTheme="majorHAnsi"/>
          <w:sz w:val="24"/>
          <w:szCs w:val="24"/>
        </w:rPr>
        <w:t xml:space="preserve"> n° 95-34 </w:t>
      </w:r>
      <w:r w:rsidR="003E7B81">
        <w:rPr>
          <w:rFonts w:asciiTheme="majorHAnsi" w:hAnsiTheme="majorHAnsi"/>
          <w:sz w:val="24"/>
          <w:szCs w:val="24"/>
        </w:rPr>
        <w:t>du 17 avril 1995 ayant procédé à l’absorption de ces pertes par la réduction de son capitale.</w:t>
      </w:r>
    </w:p>
    <w:p w:rsidR="00431024" w:rsidRDefault="001A6ECC" w:rsidP="00C2652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compte perte sur cession d’immobilisation contient un montant de 12.000 TND enregistré le 31 décembre 2012 suite à la cession d’un </w:t>
      </w:r>
      <w:r w:rsidR="00A66BEE">
        <w:rPr>
          <w:rFonts w:asciiTheme="majorHAnsi" w:hAnsiTheme="majorHAnsi"/>
          <w:sz w:val="24"/>
          <w:szCs w:val="24"/>
        </w:rPr>
        <w:t>équipement</w:t>
      </w:r>
      <w:r>
        <w:rPr>
          <w:rFonts w:asciiTheme="majorHAnsi" w:hAnsiTheme="majorHAnsi"/>
          <w:sz w:val="24"/>
          <w:szCs w:val="24"/>
        </w:rPr>
        <w:t xml:space="preserve"> acquis dans le cadre d’une opération de regroupement faite en 2010, les informations suivantes ont été collectées :</w:t>
      </w:r>
    </w:p>
    <w:p w:rsidR="001A6ECC" w:rsidRDefault="001A6ECC" w:rsidP="001A6ECC">
      <w:pPr>
        <w:pStyle w:val="Paragraphedeliste"/>
        <w:numPr>
          <w:ilvl w:val="0"/>
          <w:numId w:val="40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Juste valeur de l’équipement reçu = 100.000 TND</w:t>
      </w:r>
    </w:p>
    <w:p w:rsidR="001A6ECC" w:rsidRDefault="001A6ECC" w:rsidP="00484336">
      <w:pPr>
        <w:pStyle w:val="Paragraphedeliste"/>
        <w:numPr>
          <w:ilvl w:val="0"/>
          <w:numId w:val="40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VCN de l’équipement </w:t>
      </w:r>
      <w:r w:rsidR="00484336">
        <w:rPr>
          <w:rFonts w:asciiTheme="majorHAnsi" w:hAnsiTheme="majorHAnsi"/>
          <w:sz w:val="24"/>
          <w:szCs w:val="24"/>
        </w:rPr>
        <w:t>à la</w:t>
      </w:r>
      <w:r>
        <w:rPr>
          <w:rFonts w:asciiTheme="majorHAnsi" w:hAnsiTheme="majorHAnsi"/>
          <w:sz w:val="24"/>
          <w:szCs w:val="24"/>
        </w:rPr>
        <w:t xml:space="preserve"> date du regroupement = 60.000 TND</w:t>
      </w:r>
    </w:p>
    <w:p w:rsidR="00431024" w:rsidRPr="001A6ECC" w:rsidRDefault="00431024" w:rsidP="001A6ECC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431024" w:rsidRPr="001A6ECC" w:rsidRDefault="00431024" w:rsidP="001A6ECC">
      <w:pPr>
        <w:spacing w:before="120" w:after="12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90659" w:rsidRDefault="007039A7" w:rsidP="00E90659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Afin de bénéficier des avantages fiscaux prévus par le CII, les dirigeants de la société 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 w:rsidR="00E90659"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>
        <w:rPr>
          <w:rFonts w:asciiTheme="majorHAnsi" w:hAnsiTheme="majorHAnsi"/>
          <w:sz w:val="24"/>
          <w:szCs w:val="24"/>
        </w:rPr>
        <w:t>, visant une gestion fiscale optimale au titre de l’exercice 201</w:t>
      </w:r>
      <w:r w:rsidR="00E90659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, ont</w:t>
      </w:r>
      <w:r w:rsidR="00E90659">
        <w:rPr>
          <w:rFonts w:asciiTheme="majorHAnsi" w:hAnsiTheme="majorHAnsi"/>
          <w:sz w:val="24"/>
          <w:szCs w:val="24"/>
        </w:rPr>
        <w:t xml:space="preserve"> décidés les réinvestissements suivants :</w:t>
      </w:r>
    </w:p>
    <w:p w:rsidR="00E90659" w:rsidRDefault="00E90659" w:rsidP="001E7208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E90659">
        <w:rPr>
          <w:rFonts w:ascii="Cambria" w:eastAsia="Calibri" w:hAnsi="Cambria" w:cs="Arial"/>
          <w:sz w:val="24"/>
          <w:szCs w:val="24"/>
        </w:rPr>
        <w:t xml:space="preserve">La </w:t>
      </w:r>
      <w:r>
        <w:rPr>
          <w:rFonts w:asciiTheme="majorHAnsi" w:hAnsiTheme="majorHAnsi"/>
          <w:sz w:val="24"/>
          <w:szCs w:val="24"/>
        </w:rPr>
        <w:t>société</w:t>
      </w:r>
      <w:r w:rsidRPr="00E90659">
        <w:rPr>
          <w:rFonts w:ascii="Cambria" w:eastAsia="Calibri" w:hAnsi="Cambria" w:cs="Arial"/>
          <w:sz w:val="24"/>
          <w:szCs w:val="24"/>
        </w:rPr>
        <w:t xml:space="preserve"> 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E90659">
        <w:rPr>
          <w:rFonts w:ascii="Cambria" w:eastAsia="Calibri" w:hAnsi="Cambria" w:cs="Arial"/>
          <w:sz w:val="24"/>
          <w:szCs w:val="24"/>
        </w:rPr>
        <w:t>a participé, en 20</w:t>
      </w:r>
      <w:r>
        <w:rPr>
          <w:rFonts w:asciiTheme="majorHAnsi" w:hAnsiTheme="majorHAnsi"/>
          <w:sz w:val="24"/>
          <w:szCs w:val="24"/>
        </w:rPr>
        <w:t>12</w:t>
      </w:r>
      <w:r w:rsidRPr="00E90659">
        <w:rPr>
          <w:rFonts w:ascii="Cambria" w:eastAsia="Calibri" w:hAnsi="Cambria" w:cs="Arial"/>
          <w:sz w:val="24"/>
          <w:szCs w:val="24"/>
        </w:rPr>
        <w:t xml:space="preserve">, à l’augmentation du capital de la SARL </w:t>
      </w:r>
      <w:r w:rsidRPr="00E90659">
        <w:rPr>
          <w:rFonts w:ascii="Cambria" w:eastAsia="Calibri" w:hAnsi="Cambria" w:cs="Arial"/>
          <w:b/>
          <w:bCs/>
          <w:i/>
          <w:iCs/>
          <w:sz w:val="24"/>
          <w:szCs w:val="24"/>
        </w:rPr>
        <w:t>« </w:t>
      </w:r>
      <w:r w:rsidRPr="00E90659">
        <w:rPr>
          <w:rFonts w:asciiTheme="majorHAnsi" w:hAnsiTheme="majorHAnsi"/>
          <w:b/>
          <w:bCs/>
          <w:i/>
          <w:iCs/>
          <w:sz w:val="24"/>
          <w:szCs w:val="24"/>
        </w:rPr>
        <w:t>ABC++</w:t>
      </w:r>
      <w:r w:rsidRPr="00E90659">
        <w:rPr>
          <w:rFonts w:ascii="Cambria" w:eastAsia="Calibri" w:hAnsi="Cambria" w:cs="Arial"/>
          <w:b/>
          <w:bCs/>
          <w:i/>
          <w:iCs/>
          <w:sz w:val="24"/>
          <w:szCs w:val="24"/>
        </w:rPr>
        <w:t> »</w:t>
      </w:r>
      <w:r w:rsidRPr="00E90659">
        <w:rPr>
          <w:rFonts w:ascii="Cambria" w:eastAsia="Calibri" w:hAnsi="Cambria" w:cs="Arial"/>
          <w:sz w:val="24"/>
          <w:szCs w:val="24"/>
        </w:rPr>
        <w:t xml:space="preserve">, exerçant une activité régie par le CII (avantages communs). Elle a souscrit et libéré </w:t>
      </w:r>
      <w:r>
        <w:rPr>
          <w:rFonts w:asciiTheme="majorHAnsi" w:hAnsiTheme="majorHAnsi"/>
          <w:sz w:val="24"/>
          <w:szCs w:val="24"/>
        </w:rPr>
        <w:t>3</w:t>
      </w:r>
      <w:r w:rsidRPr="00E90659">
        <w:rPr>
          <w:rFonts w:ascii="Cambria" w:eastAsia="Calibri" w:hAnsi="Cambria" w:cs="Arial"/>
          <w:sz w:val="24"/>
          <w:szCs w:val="24"/>
        </w:rPr>
        <w:t xml:space="preserve">0.000 </w:t>
      </w:r>
      <w:r>
        <w:rPr>
          <w:rFonts w:asciiTheme="majorHAnsi" w:hAnsiTheme="majorHAnsi"/>
          <w:sz w:val="24"/>
          <w:szCs w:val="24"/>
        </w:rPr>
        <w:t>TND</w:t>
      </w:r>
      <w:r w:rsidRPr="00E90659">
        <w:rPr>
          <w:rFonts w:ascii="Cambria" w:eastAsia="Calibri" w:hAnsi="Cambria" w:cs="Arial"/>
          <w:sz w:val="24"/>
          <w:szCs w:val="24"/>
        </w:rPr>
        <w:t xml:space="preserve"> représentant la contrepartie de</w:t>
      </w:r>
      <w:r>
        <w:rPr>
          <w:rFonts w:asciiTheme="majorHAnsi" w:hAnsiTheme="majorHAnsi"/>
          <w:sz w:val="24"/>
          <w:szCs w:val="24"/>
        </w:rPr>
        <w:t xml:space="preserve"> 25</w:t>
      </w:r>
      <w:r w:rsidRPr="00E90659">
        <w:rPr>
          <w:rFonts w:ascii="Cambria" w:eastAsia="Calibri" w:hAnsi="Cambria" w:cs="Arial"/>
          <w:sz w:val="24"/>
          <w:szCs w:val="24"/>
        </w:rPr>
        <w:t xml:space="preserve">0 parts sociales émises au prix unitaire de 120 </w:t>
      </w:r>
      <w:r>
        <w:rPr>
          <w:rFonts w:asciiTheme="majorHAnsi" w:hAnsiTheme="majorHAnsi"/>
          <w:sz w:val="24"/>
          <w:szCs w:val="24"/>
        </w:rPr>
        <w:t>TND</w:t>
      </w:r>
      <w:r w:rsidRPr="00E90659">
        <w:rPr>
          <w:rFonts w:ascii="Cambria" w:eastAsia="Calibri" w:hAnsi="Cambria" w:cs="Arial"/>
          <w:sz w:val="24"/>
          <w:szCs w:val="24"/>
        </w:rPr>
        <w:t xml:space="preserve"> (50 </w:t>
      </w:r>
      <w:r w:rsidR="001E7208">
        <w:rPr>
          <w:rFonts w:ascii="Cambria" w:eastAsia="Calibri" w:hAnsi="Cambria" w:cs="Arial"/>
          <w:sz w:val="24"/>
          <w:szCs w:val="24"/>
        </w:rPr>
        <w:t>TND</w:t>
      </w:r>
      <w:r w:rsidRPr="00E90659">
        <w:rPr>
          <w:rFonts w:ascii="Cambria" w:eastAsia="Calibri" w:hAnsi="Cambria" w:cs="Arial"/>
          <w:sz w:val="24"/>
          <w:szCs w:val="24"/>
        </w:rPr>
        <w:t xml:space="preserve"> nominal et 70 </w:t>
      </w:r>
      <w:r w:rsidR="001E7208">
        <w:rPr>
          <w:rFonts w:ascii="Cambria" w:eastAsia="Calibri" w:hAnsi="Cambria" w:cs="Arial"/>
          <w:sz w:val="24"/>
          <w:szCs w:val="24"/>
        </w:rPr>
        <w:t>TND</w:t>
      </w:r>
      <w:r w:rsidRPr="00E90659">
        <w:rPr>
          <w:rFonts w:ascii="Cambria" w:eastAsia="Calibri" w:hAnsi="Cambria" w:cs="Arial"/>
          <w:sz w:val="24"/>
          <w:szCs w:val="24"/>
        </w:rPr>
        <w:t xml:space="preserve"> prime d’émission).</w:t>
      </w:r>
    </w:p>
    <w:p w:rsidR="00E90659" w:rsidRDefault="00E90659" w:rsidP="00234BAD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E90659">
        <w:rPr>
          <w:rFonts w:ascii="Cambria" w:eastAsia="Calibri" w:hAnsi="Cambria" w:cs="Arial"/>
          <w:sz w:val="24"/>
          <w:szCs w:val="24"/>
        </w:rPr>
        <w:t xml:space="preserve">La </w:t>
      </w:r>
      <w:r>
        <w:rPr>
          <w:rFonts w:asciiTheme="majorHAnsi" w:hAnsiTheme="majorHAnsi"/>
          <w:sz w:val="24"/>
          <w:szCs w:val="24"/>
        </w:rPr>
        <w:t>société</w:t>
      </w:r>
      <w:r w:rsidRPr="00E90659">
        <w:rPr>
          <w:rFonts w:ascii="Cambria" w:eastAsia="Calibri" w:hAnsi="Cambria" w:cs="Arial"/>
          <w:sz w:val="24"/>
          <w:szCs w:val="24"/>
        </w:rPr>
        <w:t xml:space="preserve"> 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souscrit et libéré, en 2012</w:t>
      </w:r>
      <w:r w:rsidRPr="00E90659">
        <w:rPr>
          <w:rFonts w:ascii="Cambria" w:eastAsia="Calibri" w:hAnsi="Cambria" w:cs="Arial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1</w:t>
      </w:r>
      <w:r w:rsidRPr="00E90659">
        <w:rPr>
          <w:rFonts w:ascii="Cambria" w:eastAsia="Calibri" w:hAnsi="Cambria" w:cs="Arial"/>
          <w:sz w:val="24"/>
          <w:szCs w:val="24"/>
        </w:rPr>
        <w:t xml:space="preserve">0.000 parts dans le fonds d’amorçage pour </w:t>
      </w:r>
      <w:r>
        <w:rPr>
          <w:rFonts w:asciiTheme="majorHAnsi" w:hAnsiTheme="majorHAnsi"/>
          <w:sz w:val="24"/>
          <w:szCs w:val="24"/>
        </w:rPr>
        <w:t>1</w:t>
      </w:r>
      <w:r w:rsidRPr="00E90659">
        <w:rPr>
          <w:rFonts w:ascii="Cambria" w:eastAsia="Calibri" w:hAnsi="Cambria" w:cs="Arial"/>
          <w:sz w:val="24"/>
          <w:szCs w:val="24"/>
        </w:rPr>
        <w:t xml:space="preserve">00.000 </w:t>
      </w:r>
      <w:r w:rsidR="00234BAD">
        <w:rPr>
          <w:rFonts w:asciiTheme="majorHAnsi" w:hAnsiTheme="majorHAnsi"/>
          <w:sz w:val="24"/>
          <w:szCs w:val="24"/>
        </w:rPr>
        <w:t>TND</w:t>
      </w:r>
      <w:r w:rsidRPr="00E90659">
        <w:rPr>
          <w:rFonts w:ascii="Cambria" w:eastAsia="Calibri" w:hAnsi="Cambria" w:cs="Arial"/>
          <w:sz w:val="24"/>
          <w:szCs w:val="24"/>
        </w:rPr>
        <w:t>.</w:t>
      </w:r>
    </w:p>
    <w:p w:rsidR="00234BAD" w:rsidRPr="00234BAD" w:rsidRDefault="00234BAD" w:rsidP="000E7159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E90659">
        <w:rPr>
          <w:rFonts w:ascii="Cambria" w:eastAsia="Calibri" w:hAnsi="Cambria" w:cs="Arial"/>
          <w:sz w:val="24"/>
          <w:szCs w:val="24"/>
        </w:rPr>
        <w:t xml:space="preserve">La </w:t>
      </w:r>
      <w:r>
        <w:rPr>
          <w:rFonts w:asciiTheme="majorHAnsi" w:hAnsiTheme="majorHAnsi"/>
          <w:sz w:val="24"/>
          <w:szCs w:val="24"/>
        </w:rPr>
        <w:t>société</w:t>
      </w:r>
      <w:r w:rsidRPr="00E90659">
        <w:rPr>
          <w:rFonts w:ascii="Cambria" w:eastAsia="Calibri" w:hAnsi="Cambria" w:cs="Arial"/>
          <w:sz w:val="24"/>
          <w:szCs w:val="24"/>
        </w:rPr>
        <w:t xml:space="preserve"> 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234BAD">
        <w:rPr>
          <w:rFonts w:ascii="Cambria" w:eastAsia="Calibri" w:hAnsi="Cambria" w:cs="Arial"/>
          <w:sz w:val="24"/>
          <w:szCs w:val="24"/>
        </w:rPr>
        <w:t>a souscrit, en 20</w:t>
      </w:r>
      <w:r>
        <w:rPr>
          <w:rFonts w:asciiTheme="majorHAnsi" w:hAnsiTheme="majorHAnsi"/>
          <w:sz w:val="24"/>
          <w:szCs w:val="24"/>
        </w:rPr>
        <w:t>12</w:t>
      </w:r>
      <w:r w:rsidRPr="00234BAD">
        <w:rPr>
          <w:rFonts w:ascii="Cambria" w:eastAsia="Calibri" w:hAnsi="Cambria" w:cs="Arial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20</w:t>
      </w:r>
      <w:r w:rsidRPr="00234BAD">
        <w:rPr>
          <w:rFonts w:ascii="Cambria" w:eastAsia="Calibri" w:hAnsi="Cambria" w:cs="Arial"/>
          <w:sz w:val="24"/>
          <w:szCs w:val="24"/>
        </w:rPr>
        <w:t xml:space="preserve">0.000 </w:t>
      </w:r>
      <w:r>
        <w:rPr>
          <w:rFonts w:asciiTheme="majorHAnsi" w:hAnsiTheme="majorHAnsi"/>
          <w:sz w:val="24"/>
          <w:szCs w:val="24"/>
        </w:rPr>
        <w:t>TND</w:t>
      </w:r>
      <w:r w:rsidRPr="00234BAD">
        <w:rPr>
          <w:rFonts w:ascii="Cambria" w:eastAsia="Calibri" w:hAnsi="Cambria" w:cs="Arial"/>
          <w:sz w:val="24"/>
          <w:szCs w:val="24"/>
        </w:rPr>
        <w:t xml:space="preserve"> au capital initial de la SARL </w:t>
      </w:r>
      <w:r w:rsidRPr="001E7208">
        <w:rPr>
          <w:rFonts w:ascii="Cambria" w:eastAsia="Calibri" w:hAnsi="Cambria" w:cs="Arial"/>
          <w:b/>
          <w:bCs/>
          <w:i/>
          <w:iCs/>
          <w:sz w:val="24"/>
          <w:szCs w:val="24"/>
        </w:rPr>
        <w:t>« XYZ »</w:t>
      </w:r>
      <w:r w:rsidRPr="00234BAD">
        <w:rPr>
          <w:rFonts w:ascii="Cambria" w:eastAsia="Calibri" w:hAnsi="Cambria" w:cs="Arial"/>
          <w:sz w:val="24"/>
          <w:szCs w:val="24"/>
        </w:rPr>
        <w:t xml:space="preserve"> spécialisée dans la collecte, la transformation ou le traitement des ordures et des déchets ménagers.</w:t>
      </w:r>
      <w:r w:rsidR="000E7159">
        <w:rPr>
          <w:rFonts w:ascii="Cambria" w:eastAsia="Calibri" w:hAnsi="Cambria" w:cs="Arial"/>
          <w:sz w:val="24"/>
          <w:szCs w:val="24"/>
        </w:rPr>
        <w:t xml:space="preserve"> La libération des montants a eu lieu le               27 janvier 2013.</w:t>
      </w:r>
    </w:p>
    <w:p w:rsidR="00BB5877" w:rsidRPr="00E76CD6" w:rsidRDefault="007039A7" w:rsidP="001E7208">
      <w:pPr>
        <w:spacing w:before="120" w:after="12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B5877">
        <w:rPr>
          <w:rFonts w:asciiTheme="majorHAnsi" w:hAnsiTheme="majorHAnsi"/>
          <w:sz w:val="24"/>
          <w:szCs w:val="24"/>
        </w:rPr>
        <w:t xml:space="preserve"> </w:t>
      </w:r>
      <w:r w:rsidR="006F2876">
        <w:rPr>
          <w:rFonts w:asciiTheme="majorHAnsi" w:hAnsiTheme="majorHAnsi"/>
          <w:sz w:val="24"/>
          <w:szCs w:val="24"/>
        </w:rPr>
        <w:t xml:space="preserve"> </w:t>
      </w:r>
      <w:r w:rsidR="00BB5877" w:rsidRPr="00E76CD6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BB5877" w:rsidRDefault="00BB5877" w:rsidP="00BB5877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751A9">
        <w:rPr>
          <w:rFonts w:asciiTheme="majorHAnsi" w:hAnsiTheme="majorHAnsi"/>
          <w:sz w:val="24"/>
          <w:szCs w:val="24"/>
        </w:rPr>
        <w:t>Déterminez</w:t>
      </w:r>
      <w:r>
        <w:rPr>
          <w:rFonts w:asciiTheme="majorHAnsi" w:hAnsiTheme="majorHAnsi"/>
          <w:sz w:val="24"/>
          <w:szCs w:val="24"/>
        </w:rPr>
        <w:t xml:space="preserve"> :</w:t>
      </w:r>
    </w:p>
    <w:p w:rsidR="00BB5877" w:rsidRDefault="007039A7" w:rsidP="00A66BEE">
      <w:pPr>
        <w:pStyle w:val="Paragraphedeliste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4C23E6">
        <w:rPr>
          <w:rFonts w:asciiTheme="majorHAnsi" w:hAnsiTheme="majorHAnsi"/>
          <w:sz w:val="24"/>
          <w:szCs w:val="24"/>
        </w:rPr>
        <w:t xml:space="preserve">e résultat fiscal de la société </w:t>
      </w:r>
      <w:r w:rsidR="004C23E6" w:rsidRPr="004C23E6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 w:rsidR="00A66BEE"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="004C23E6" w:rsidRPr="004C23E6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 w:rsidR="004C23E6">
        <w:rPr>
          <w:rFonts w:asciiTheme="majorHAnsi" w:hAnsiTheme="majorHAnsi"/>
          <w:sz w:val="24"/>
          <w:szCs w:val="24"/>
        </w:rPr>
        <w:t xml:space="preserve"> en opérant les corrections nécessaires</w:t>
      </w:r>
      <w:r w:rsidR="00BB5877" w:rsidRPr="00C8239C">
        <w:rPr>
          <w:rFonts w:asciiTheme="majorHAnsi" w:hAnsiTheme="majorHAnsi"/>
          <w:sz w:val="24"/>
          <w:szCs w:val="24"/>
        </w:rPr>
        <w:t> ?</w:t>
      </w:r>
    </w:p>
    <w:p w:rsidR="004C23E6" w:rsidRDefault="007039A7" w:rsidP="001E7208">
      <w:pPr>
        <w:pStyle w:val="Paragraphedeliste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4C23E6">
        <w:rPr>
          <w:rFonts w:asciiTheme="majorHAnsi" w:hAnsiTheme="majorHAnsi"/>
          <w:sz w:val="24"/>
          <w:szCs w:val="24"/>
        </w:rPr>
        <w:t xml:space="preserve">e résultat fiscal imposable </w:t>
      </w:r>
      <w:r w:rsidR="00257CFE">
        <w:rPr>
          <w:rFonts w:asciiTheme="majorHAnsi" w:hAnsiTheme="majorHAnsi"/>
          <w:sz w:val="24"/>
          <w:szCs w:val="24"/>
        </w:rPr>
        <w:t xml:space="preserve">de la société </w:t>
      </w:r>
      <w:r w:rsidR="00257CFE" w:rsidRPr="004C23E6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 w:rsidR="001E7208"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="00257CFE" w:rsidRPr="004C23E6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 w:rsidR="001E7208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4C23E6">
        <w:rPr>
          <w:rFonts w:asciiTheme="majorHAnsi" w:hAnsiTheme="majorHAnsi"/>
          <w:sz w:val="24"/>
          <w:szCs w:val="24"/>
        </w:rPr>
        <w:t>?</w:t>
      </w:r>
    </w:p>
    <w:p w:rsidR="001E7208" w:rsidRDefault="001E7208" w:rsidP="00502D49">
      <w:pPr>
        <w:pStyle w:val="Paragraphedeliste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résultat fiscal imposable de la société </w:t>
      </w:r>
      <w:r w:rsidRPr="001E7208">
        <w:rPr>
          <w:rFonts w:asciiTheme="majorHAnsi" w:hAnsiTheme="majorHAnsi"/>
          <w:b/>
          <w:bCs/>
          <w:i/>
          <w:iCs/>
          <w:sz w:val="24"/>
          <w:szCs w:val="24"/>
        </w:rPr>
        <w:t>« ABC »</w:t>
      </w:r>
      <w:r>
        <w:rPr>
          <w:rFonts w:asciiTheme="majorHAnsi" w:hAnsiTheme="majorHAnsi"/>
          <w:sz w:val="24"/>
          <w:szCs w:val="24"/>
        </w:rPr>
        <w:t xml:space="preserve"> dans le cas ou le bénéfice comptable de l’année 2012 </w:t>
      </w:r>
      <w:r w:rsidR="00502D49">
        <w:rPr>
          <w:rFonts w:asciiTheme="majorHAnsi" w:hAnsiTheme="majorHAnsi"/>
          <w:sz w:val="24"/>
          <w:szCs w:val="24"/>
        </w:rPr>
        <w:t>sera</w:t>
      </w:r>
      <w:r>
        <w:rPr>
          <w:rFonts w:asciiTheme="majorHAnsi" w:hAnsiTheme="majorHAnsi"/>
          <w:sz w:val="24"/>
          <w:szCs w:val="24"/>
        </w:rPr>
        <w:t xml:space="preserve"> de 50.000 TND ?</w:t>
      </w: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7208" w:rsidRDefault="001E7208" w:rsidP="001E7208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295461" w:rsidRPr="00852BF7" w:rsidRDefault="00C42D65" w:rsidP="00267522">
      <w:pPr>
        <w:pStyle w:val="Paragraphedeliste"/>
        <w:numPr>
          <w:ilvl w:val="0"/>
          <w:numId w:val="39"/>
        </w:numPr>
        <w:tabs>
          <w:tab w:val="left" w:pos="426"/>
        </w:tabs>
        <w:spacing w:before="120" w:after="120" w:line="360" w:lineRule="auto"/>
        <w:ind w:left="851" w:hanging="491"/>
        <w:jc w:val="both"/>
        <w:rPr>
          <w:rFonts w:asciiTheme="majorHAnsi" w:hAnsiTheme="majorHAnsi"/>
          <w:sz w:val="24"/>
          <w:szCs w:val="24"/>
        </w:rPr>
      </w:pPr>
      <w:r w:rsidRPr="00852BF7">
        <w:rPr>
          <w:rFonts w:asciiTheme="majorHAnsi" w:hAnsiTheme="majorHAnsi"/>
          <w:sz w:val="24"/>
          <w:szCs w:val="24"/>
        </w:rPr>
        <w:lastRenderedPageBreak/>
        <w:t xml:space="preserve">La société </w:t>
      </w:r>
      <w:r w:rsidRPr="00852BF7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E76CD6" w:rsidRPr="00852BF7"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Pr="00852BF7">
        <w:rPr>
          <w:rFonts w:asciiTheme="majorHAnsi" w:hAnsiTheme="majorHAnsi"/>
          <w:b/>
          <w:bCs/>
          <w:i/>
          <w:iCs/>
          <w:sz w:val="24"/>
          <w:szCs w:val="24"/>
        </w:rPr>
        <w:t xml:space="preserve"> » </w:t>
      </w:r>
      <w:r w:rsidR="00295461" w:rsidRPr="00852BF7">
        <w:rPr>
          <w:rFonts w:asciiTheme="majorHAnsi" w:hAnsiTheme="majorHAnsi"/>
          <w:sz w:val="24"/>
          <w:szCs w:val="24"/>
        </w:rPr>
        <w:t>a réalisé</w:t>
      </w:r>
      <w:r w:rsidR="003875E3">
        <w:rPr>
          <w:rFonts w:asciiTheme="majorHAnsi" w:hAnsiTheme="majorHAnsi"/>
          <w:sz w:val="24"/>
          <w:szCs w:val="24"/>
        </w:rPr>
        <w:t xml:space="preserve"> au cours de l’année 2012</w:t>
      </w:r>
      <w:r w:rsidR="00295461" w:rsidRPr="00852BF7">
        <w:rPr>
          <w:rFonts w:asciiTheme="majorHAnsi" w:hAnsiTheme="majorHAnsi"/>
          <w:sz w:val="24"/>
          <w:szCs w:val="24"/>
        </w:rPr>
        <w:t xml:space="preserve"> les opérations suivantes :</w:t>
      </w:r>
      <w:r w:rsidRPr="00852BF7">
        <w:rPr>
          <w:rFonts w:asciiTheme="majorHAnsi" w:hAnsiTheme="majorHAnsi"/>
          <w:sz w:val="24"/>
          <w:szCs w:val="24"/>
        </w:rPr>
        <w:t xml:space="preserve"> </w:t>
      </w:r>
    </w:p>
    <w:p w:rsidR="008A7586" w:rsidRDefault="00295461" w:rsidP="009D1F2D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95461">
        <w:rPr>
          <w:rFonts w:asciiTheme="majorHAnsi" w:hAnsiTheme="majorHAnsi"/>
          <w:sz w:val="24"/>
          <w:szCs w:val="24"/>
        </w:rPr>
        <w:t>Elle</w:t>
      </w:r>
      <w:r w:rsidR="00C42D65" w:rsidRPr="00295461">
        <w:rPr>
          <w:rFonts w:asciiTheme="majorHAnsi" w:hAnsiTheme="majorHAnsi"/>
          <w:sz w:val="24"/>
          <w:szCs w:val="24"/>
        </w:rPr>
        <w:t xml:space="preserve"> a </w:t>
      </w:r>
      <w:r w:rsidR="008A7586">
        <w:rPr>
          <w:rFonts w:asciiTheme="majorHAnsi" w:hAnsiTheme="majorHAnsi"/>
          <w:sz w:val="24"/>
          <w:szCs w:val="24"/>
        </w:rPr>
        <w:t xml:space="preserve">conclu une convention avec une société spécialisée ayant son siège social au Japon. Cette convention </w:t>
      </w:r>
      <w:r w:rsidR="00852BF7">
        <w:rPr>
          <w:rFonts w:asciiTheme="majorHAnsi" w:hAnsiTheme="majorHAnsi"/>
          <w:sz w:val="24"/>
          <w:szCs w:val="24"/>
        </w:rPr>
        <w:t>à</w:t>
      </w:r>
      <w:r w:rsidR="008A7586">
        <w:rPr>
          <w:rFonts w:asciiTheme="majorHAnsi" w:hAnsiTheme="majorHAnsi"/>
          <w:sz w:val="24"/>
          <w:szCs w:val="24"/>
        </w:rPr>
        <w:t xml:space="preserve"> pour objet la construction</w:t>
      </w:r>
      <w:r w:rsidR="009D1F2D">
        <w:rPr>
          <w:rFonts w:asciiTheme="majorHAnsi" w:hAnsiTheme="majorHAnsi"/>
          <w:sz w:val="24"/>
          <w:szCs w:val="24"/>
        </w:rPr>
        <w:t xml:space="preserve"> d’une </w:t>
      </w:r>
      <w:r w:rsidR="008A7586">
        <w:rPr>
          <w:rFonts w:asciiTheme="majorHAnsi" w:hAnsiTheme="majorHAnsi"/>
          <w:sz w:val="24"/>
          <w:szCs w:val="24"/>
        </w:rPr>
        <w:t>usine pour une période de cinq mois, moyennant le paiement d’une somme de 500.000 TND.</w:t>
      </w:r>
    </w:p>
    <w:p w:rsidR="008A7586" w:rsidRDefault="008A7586" w:rsidP="008A7586">
      <w:pPr>
        <w:pStyle w:val="Paragraphedeliste"/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Sachant qu’il n’existe pas de convention de non double imposition entre la Tunisie et le Japon.</w:t>
      </w:r>
    </w:p>
    <w:p w:rsidR="008A7586" w:rsidRDefault="008A7586" w:rsidP="008B4585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95461">
        <w:rPr>
          <w:rFonts w:asciiTheme="majorHAnsi" w:hAnsiTheme="majorHAnsi"/>
          <w:sz w:val="24"/>
          <w:szCs w:val="24"/>
        </w:rPr>
        <w:t xml:space="preserve">Elle a </w:t>
      </w:r>
      <w:r>
        <w:rPr>
          <w:rFonts w:asciiTheme="majorHAnsi" w:hAnsiTheme="majorHAnsi"/>
          <w:sz w:val="24"/>
          <w:szCs w:val="24"/>
        </w:rPr>
        <w:t xml:space="preserve">conclu un marché avec la société </w:t>
      </w:r>
      <w:r w:rsidRPr="008B4585">
        <w:rPr>
          <w:rFonts w:asciiTheme="majorHAnsi" w:hAnsiTheme="majorHAnsi"/>
          <w:b/>
          <w:bCs/>
          <w:i/>
          <w:iCs/>
          <w:sz w:val="24"/>
          <w:szCs w:val="24"/>
        </w:rPr>
        <w:t>« HMD »</w:t>
      </w:r>
      <w:r>
        <w:rPr>
          <w:rFonts w:asciiTheme="majorHAnsi" w:hAnsiTheme="majorHAnsi"/>
          <w:sz w:val="24"/>
          <w:szCs w:val="24"/>
        </w:rPr>
        <w:t xml:space="preserve"> ayant son siège social </w:t>
      </w:r>
      <w:r w:rsidR="008B4585">
        <w:rPr>
          <w:rFonts w:asciiTheme="majorHAnsi" w:hAnsiTheme="majorHAnsi"/>
          <w:sz w:val="24"/>
          <w:szCs w:val="24"/>
        </w:rPr>
        <w:t>en Espagne</w:t>
      </w:r>
      <w:r>
        <w:rPr>
          <w:rFonts w:asciiTheme="majorHAnsi" w:hAnsiTheme="majorHAnsi"/>
          <w:sz w:val="24"/>
          <w:szCs w:val="24"/>
        </w:rPr>
        <w:t xml:space="preserve"> qui a pour objet :</w:t>
      </w:r>
    </w:p>
    <w:p w:rsidR="008A7586" w:rsidRDefault="008A7586" w:rsidP="008B4585">
      <w:pPr>
        <w:pStyle w:val="Paragraphedeliste"/>
        <w:numPr>
          <w:ilvl w:val="0"/>
          <w:numId w:val="40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L’acquisition des équipements nécessaires au </w:t>
      </w:r>
      <w:r w:rsidR="008B4585">
        <w:rPr>
          <w:rFonts w:asciiTheme="majorHAnsi" w:hAnsiTheme="majorHAnsi"/>
          <w:sz w:val="24"/>
          <w:szCs w:val="24"/>
        </w:rPr>
        <w:t>fonctionnement</w:t>
      </w:r>
      <w:r>
        <w:rPr>
          <w:rFonts w:asciiTheme="majorHAnsi" w:hAnsiTheme="majorHAnsi"/>
          <w:sz w:val="24"/>
          <w:szCs w:val="24"/>
        </w:rPr>
        <w:t xml:space="preserve"> de l’usine</w:t>
      </w:r>
      <w:r w:rsidR="008B4585">
        <w:rPr>
          <w:rFonts w:asciiTheme="majorHAnsi" w:hAnsiTheme="majorHAnsi"/>
          <w:sz w:val="24"/>
          <w:szCs w:val="24"/>
        </w:rPr>
        <w:t xml:space="preserve"> moyennant une somme de 1.500.000 TND.</w:t>
      </w:r>
    </w:p>
    <w:p w:rsidR="008B4585" w:rsidRDefault="008B4585" w:rsidP="008B4585">
      <w:pPr>
        <w:pStyle w:val="Paragraphedeliste"/>
        <w:numPr>
          <w:ilvl w:val="0"/>
          <w:numId w:val="40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travaux d’instalation des équipement prévus pour une durée de 20 jours moyennant une somme de 150.000 TND.</w:t>
      </w:r>
    </w:p>
    <w:p w:rsidR="008B4585" w:rsidRPr="008A7586" w:rsidRDefault="008B4585" w:rsidP="008B4585">
      <w:pPr>
        <w:pStyle w:val="Paragraphedeliste"/>
        <w:numPr>
          <w:ilvl w:val="0"/>
          <w:numId w:val="40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surveillance de l’opération de montage qui est assurée pendant deux mois par deux ingénieurs après l’achèvement des travaux d’instalation moyennant une rémunération de 100.000 TND.</w:t>
      </w:r>
    </w:p>
    <w:p w:rsidR="009D1F2D" w:rsidRDefault="003875E3" w:rsidP="009D1F2D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Elle a payé à une société résidente en Espagne un montant de 20.000 TND en contre partie d’un droit d’utilisation d’un logiciel informatique. Les travaux de maintenance du dite logiciel sont de 5.000 TND </w:t>
      </w:r>
      <w:r w:rsidR="009D1F2D">
        <w:rPr>
          <w:rFonts w:asciiTheme="majorHAnsi" w:hAnsiTheme="majorHAnsi"/>
          <w:sz w:val="24"/>
          <w:szCs w:val="24"/>
        </w:rPr>
        <w:t>par ans.</w:t>
      </w:r>
    </w:p>
    <w:p w:rsidR="00553731" w:rsidRPr="008C3137" w:rsidRDefault="00553731" w:rsidP="00553731">
      <w:pPr>
        <w:spacing w:before="240" w:after="24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</w:t>
      </w:r>
      <w:r w:rsidRPr="008C313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553731" w:rsidRPr="00A351C8" w:rsidRDefault="00553731" w:rsidP="009D1F2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 w:rsidRPr="003A5FC0">
        <w:rPr>
          <w:rFonts w:asciiTheme="majorHAnsi" w:hAnsiTheme="majorHAnsi"/>
          <w:sz w:val="24"/>
          <w:szCs w:val="24"/>
        </w:rPr>
        <w:t>dans laquelle vous indiquez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traitement fiscal approprié mis à la charge </w:t>
      </w:r>
      <w:r w:rsidR="003F556D">
        <w:rPr>
          <w:rFonts w:asciiTheme="majorHAnsi" w:hAnsiTheme="majorHAnsi"/>
          <w:sz w:val="24"/>
          <w:szCs w:val="24"/>
        </w:rPr>
        <w:t xml:space="preserve">de la société </w:t>
      </w:r>
      <w:r w:rsidR="003F556D" w:rsidRPr="00B97067">
        <w:rPr>
          <w:rFonts w:asciiTheme="majorHAnsi" w:hAnsiTheme="majorHAnsi"/>
          <w:b/>
          <w:bCs/>
          <w:i/>
          <w:iCs/>
          <w:sz w:val="24"/>
          <w:szCs w:val="24"/>
        </w:rPr>
        <w:t>« </w:t>
      </w:r>
      <w:r w:rsidR="00852BF7">
        <w:rPr>
          <w:rFonts w:asciiTheme="majorHAnsi" w:hAnsiTheme="majorHAnsi"/>
          <w:b/>
          <w:bCs/>
          <w:i/>
          <w:iCs/>
          <w:sz w:val="24"/>
          <w:szCs w:val="24"/>
        </w:rPr>
        <w:t>ABC</w:t>
      </w:r>
      <w:r w:rsidR="003F556D" w:rsidRPr="00B97067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 w:rsidR="003F556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concernant</w:t>
      </w:r>
      <w:r w:rsidRPr="00FE5C42">
        <w:rPr>
          <w:rFonts w:asciiTheme="majorHAnsi" w:hAnsiTheme="majorHAnsi"/>
          <w:sz w:val="24"/>
          <w:szCs w:val="24"/>
        </w:rPr>
        <w:t xml:space="preserve"> </w:t>
      </w:r>
      <w:r w:rsidR="003F556D">
        <w:rPr>
          <w:rFonts w:asciiTheme="majorHAnsi" w:hAnsiTheme="majorHAnsi"/>
          <w:sz w:val="24"/>
          <w:szCs w:val="24"/>
        </w:rPr>
        <w:t>les</w:t>
      </w:r>
      <w:r w:rsidRPr="00FE5C42">
        <w:rPr>
          <w:rFonts w:asciiTheme="majorHAnsi" w:hAnsiTheme="majorHAnsi"/>
          <w:sz w:val="24"/>
          <w:szCs w:val="24"/>
        </w:rPr>
        <w:t xml:space="preserve"> opération</w:t>
      </w:r>
      <w:r w:rsidR="003F556D">
        <w:rPr>
          <w:rFonts w:asciiTheme="majorHAnsi" w:hAnsiTheme="majorHAnsi"/>
          <w:sz w:val="24"/>
          <w:szCs w:val="24"/>
        </w:rPr>
        <w:t>s sus-indiquées</w:t>
      </w:r>
      <w:r>
        <w:rPr>
          <w:rFonts w:asciiTheme="majorHAnsi" w:hAnsiTheme="majorHAnsi"/>
          <w:sz w:val="24"/>
          <w:szCs w:val="24"/>
        </w:rPr>
        <w:t xml:space="preserve"> sachant que le paiement effectif de ces montants </w:t>
      </w:r>
      <w:r w:rsidR="009D1F2D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 xml:space="preserve"> eu lieu au cours de l’année 201</w:t>
      </w:r>
      <w:r w:rsidR="00852BF7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?</w:t>
      </w:r>
    </w:p>
    <w:p w:rsidR="000B3264" w:rsidRDefault="000B3264" w:rsidP="006B3C4F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0B3264" w:rsidRDefault="000B3264" w:rsidP="006B3C4F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0B3264" w:rsidSect="00BF2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90" w:rsidRDefault="00152C90" w:rsidP="00A7596E">
      <w:pPr>
        <w:spacing w:after="0" w:line="240" w:lineRule="auto"/>
      </w:pPr>
      <w:r>
        <w:separator/>
      </w:r>
    </w:p>
  </w:endnote>
  <w:endnote w:type="continuationSeparator" w:id="0">
    <w:p w:rsidR="00152C90" w:rsidRDefault="00152C90" w:rsidP="00A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40" w:rsidRDefault="00B55391" w:rsidP="00B5539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Enseignant responsable :</w:t>
    </w:r>
    <w:r w:rsidR="00082D40">
      <w:rPr>
        <w:rFonts w:asciiTheme="majorHAnsi" w:hAnsiTheme="majorHAnsi"/>
      </w:rPr>
      <w:t xml:space="preserve"> Mr SBAI Mounir</w:t>
    </w:r>
    <w:r w:rsidR="00FD46C8">
      <w:rPr>
        <w:rFonts w:asciiTheme="majorHAnsi" w:hAnsiTheme="majorHAnsi"/>
      </w:rPr>
      <w:t>,</w:t>
    </w:r>
    <w:r w:rsidR="00A34A41">
      <w:rPr>
        <w:rFonts w:asciiTheme="majorHAnsi" w:hAnsiTheme="majorHAnsi"/>
      </w:rPr>
      <w:t xml:space="preserve"> 201</w:t>
    </w:r>
    <w:r>
      <w:rPr>
        <w:rFonts w:asciiTheme="majorHAnsi" w:hAnsiTheme="majorHAnsi"/>
      </w:rPr>
      <w:t>3</w:t>
    </w:r>
    <w:r w:rsidR="00FD46C8">
      <w:rPr>
        <w:rFonts w:asciiTheme="majorHAnsi" w:hAnsiTheme="majorHAnsi"/>
      </w:rPr>
      <w:t>-</w:t>
    </w:r>
    <w:r w:rsidR="00A34A41">
      <w:rPr>
        <w:rFonts w:asciiTheme="majorHAnsi" w:hAnsiTheme="majorHAnsi"/>
      </w:rPr>
      <w:t>201</w:t>
    </w:r>
    <w:r>
      <w:rPr>
        <w:rFonts w:asciiTheme="majorHAnsi" w:hAnsiTheme="majorHAnsi"/>
      </w:rPr>
      <w:t>4</w:t>
    </w:r>
    <w:r w:rsidR="00A34A41">
      <w:rPr>
        <w:rFonts w:asciiTheme="majorHAnsi" w:hAnsiTheme="majorHAnsi"/>
      </w:rPr>
      <w:t xml:space="preserve"> </w:t>
    </w:r>
    <w:r w:rsidR="00082D40">
      <w:rPr>
        <w:rFonts w:asciiTheme="majorHAnsi" w:hAnsiTheme="majorHAnsi"/>
      </w:rPr>
      <w:ptab w:relativeTo="margin" w:alignment="right" w:leader="none"/>
    </w:r>
    <w:r w:rsidR="00082D40">
      <w:rPr>
        <w:rFonts w:asciiTheme="majorHAnsi" w:hAnsiTheme="majorHAnsi"/>
      </w:rPr>
      <w:t xml:space="preserve">Page </w:t>
    </w:r>
    <w:fldSimple w:instr=" PAGE   \* MERGEFORMAT ">
      <w:r w:rsidR="00C75ED9" w:rsidRPr="00C75ED9">
        <w:rPr>
          <w:rFonts w:asciiTheme="majorHAnsi" w:hAnsiTheme="majorHAnsi"/>
          <w:noProof/>
        </w:rPr>
        <w:t>4</w:t>
      </w:r>
    </w:fldSimple>
  </w:p>
  <w:p w:rsidR="00082D40" w:rsidRDefault="00082D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90" w:rsidRDefault="00152C90" w:rsidP="00A7596E">
      <w:pPr>
        <w:spacing w:after="0" w:line="240" w:lineRule="auto"/>
      </w:pPr>
      <w:r>
        <w:separator/>
      </w:r>
    </w:p>
  </w:footnote>
  <w:footnote w:type="continuationSeparator" w:id="0">
    <w:p w:rsidR="00152C90" w:rsidRDefault="00152C90" w:rsidP="00A7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C75ED9">
      <w:trPr>
        <w:trHeight w:val="288"/>
      </w:trPr>
      <w:sdt>
        <w:sdtPr>
          <w:alias w:val="Titre"/>
          <w:id w:val="77761602"/>
          <w:placeholder>
            <w:docPart w:val="80A960CCF4C64CE9A605ECC322CBC75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75ED9" w:rsidRDefault="00C75ED9" w:rsidP="00C75ED9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75ED9">
                <w:t xml:space="preserve">Analyse des cas de fiscalité approfondie : </w:t>
              </w:r>
              <w:proofErr w:type="gramStart"/>
              <w:r w:rsidRPr="00C75ED9">
                <w:t>CES révision comptable</w:t>
              </w:r>
              <w:proofErr w:type="gramEnd"/>
              <w:r w:rsidRPr="00C75ED9">
                <w:t xml:space="preserve">, ISG Tunis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</w:rPr>
          <w:alias w:val="Année"/>
          <w:id w:val="77761609"/>
          <w:placeholder>
            <w:docPart w:val="F1356711FF3C48CE89A9342C9FF3C48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19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75ED9" w:rsidRDefault="00C75ED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75ED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</w:rPr>
                <w:t>2014</w:t>
              </w:r>
            </w:p>
          </w:tc>
        </w:sdtContent>
      </w:sdt>
    </w:tr>
  </w:tbl>
  <w:p w:rsidR="00082D40" w:rsidRDefault="00082D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A0"/>
    <w:multiLevelType w:val="hybridMultilevel"/>
    <w:tmpl w:val="9340820E"/>
    <w:lvl w:ilvl="0" w:tplc="A6A6D53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7164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55B25"/>
    <w:multiLevelType w:val="hybridMultilevel"/>
    <w:tmpl w:val="AB50AD10"/>
    <w:lvl w:ilvl="0" w:tplc="CA8C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2A"/>
    <w:multiLevelType w:val="hybridMultilevel"/>
    <w:tmpl w:val="8EDAB002"/>
    <w:lvl w:ilvl="0" w:tplc="EE2A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5A7"/>
    <w:multiLevelType w:val="hybridMultilevel"/>
    <w:tmpl w:val="578CF458"/>
    <w:lvl w:ilvl="0" w:tplc="57305A30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D6546B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C0C"/>
    <w:multiLevelType w:val="hybridMultilevel"/>
    <w:tmpl w:val="6632F182"/>
    <w:lvl w:ilvl="0" w:tplc="D1B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835F1"/>
    <w:multiLevelType w:val="hybridMultilevel"/>
    <w:tmpl w:val="A16C3E44"/>
    <w:lvl w:ilvl="0" w:tplc="F9EC7C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1550D5"/>
    <w:multiLevelType w:val="hybridMultilevel"/>
    <w:tmpl w:val="3CC6F3D0"/>
    <w:lvl w:ilvl="0" w:tplc="F59E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B0F08"/>
    <w:multiLevelType w:val="hybridMultilevel"/>
    <w:tmpl w:val="E7DC63F0"/>
    <w:lvl w:ilvl="0" w:tplc="01D6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0A6F"/>
    <w:multiLevelType w:val="hybridMultilevel"/>
    <w:tmpl w:val="87C4ED9A"/>
    <w:lvl w:ilvl="0" w:tplc="EA0A314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1F49DA"/>
    <w:multiLevelType w:val="hybridMultilevel"/>
    <w:tmpl w:val="F264957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F5528F"/>
    <w:multiLevelType w:val="hybridMultilevel"/>
    <w:tmpl w:val="6538B49A"/>
    <w:lvl w:ilvl="0" w:tplc="EB4C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71D82"/>
    <w:multiLevelType w:val="hybridMultilevel"/>
    <w:tmpl w:val="EEE43BC0"/>
    <w:lvl w:ilvl="0" w:tplc="BD54E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F1DAA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4C98"/>
    <w:multiLevelType w:val="hybridMultilevel"/>
    <w:tmpl w:val="7F8CB92A"/>
    <w:lvl w:ilvl="0" w:tplc="24E02B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75968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F53A8"/>
    <w:multiLevelType w:val="hybridMultilevel"/>
    <w:tmpl w:val="6D585064"/>
    <w:lvl w:ilvl="0" w:tplc="7104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E3988"/>
    <w:multiLevelType w:val="hybridMultilevel"/>
    <w:tmpl w:val="4C329CAC"/>
    <w:lvl w:ilvl="0" w:tplc="F4B68344">
      <w:start w:val="1"/>
      <w:numFmt w:val="upperRoman"/>
      <w:lvlText w:val="%1-"/>
      <w:lvlJc w:val="left"/>
      <w:pPr>
        <w:ind w:left="256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4C971155"/>
    <w:multiLevelType w:val="hybridMultilevel"/>
    <w:tmpl w:val="134E13E2"/>
    <w:lvl w:ilvl="0" w:tplc="27B80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5593"/>
    <w:multiLevelType w:val="hybridMultilevel"/>
    <w:tmpl w:val="75E075F6"/>
    <w:lvl w:ilvl="0" w:tplc="81CCF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3834"/>
    <w:multiLevelType w:val="hybridMultilevel"/>
    <w:tmpl w:val="9588F700"/>
    <w:lvl w:ilvl="0" w:tplc="5B706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B2A39"/>
    <w:multiLevelType w:val="hybridMultilevel"/>
    <w:tmpl w:val="2AA0B3D6"/>
    <w:lvl w:ilvl="0" w:tplc="E01E5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425E"/>
    <w:multiLevelType w:val="hybridMultilevel"/>
    <w:tmpl w:val="E0EC5DC6"/>
    <w:lvl w:ilvl="0" w:tplc="9044ED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42C2D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B507CA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55131"/>
    <w:multiLevelType w:val="hybridMultilevel"/>
    <w:tmpl w:val="A7CA97C4"/>
    <w:lvl w:ilvl="0" w:tplc="9EA4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550E3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561E0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2DE2A10"/>
    <w:multiLevelType w:val="hybridMultilevel"/>
    <w:tmpl w:val="05CA5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32EF"/>
    <w:multiLevelType w:val="hybridMultilevel"/>
    <w:tmpl w:val="70364EB8"/>
    <w:lvl w:ilvl="0" w:tplc="6268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F0977"/>
    <w:multiLevelType w:val="hybridMultilevel"/>
    <w:tmpl w:val="631A5B48"/>
    <w:lvl w:ilvl="0" w:tplc="D7EC3B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371A0"/>
    <w:multiLevelType w:val="hybridMultilevel"/>
    <w:tmpl w:val="41AA9864"/>
    <w:lvl w:ilvl="0" w:tplc="E46A6E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539C3"/>
    <w:multiLevelType w:val="hybridMultilevel"/>
    <w:tmpl w:val="6FA80532"/>
    <w:lvl w:ilvl="0" w:tplc="D1B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95F29"/>
    <w:multiLevelType w:val="hybridMultilevel"/>
    <w:tmpl w:val="F6720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C300C"/>
    <w:multiLevelType w:val="hybridMultilevel"/>
    <w:tmpl w:val="67663A8C"/>
    <w:lvl w:ilvl="0" w:tplc="9EEA1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83718"/>
    <w:multiLevelType w:val="hybridMultilevel"/>
    <w:tmpl w:val="B13AA63C"/>
    <w:lvl w:ilvl="0" w:tplc="D72C42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C530D"/>
    <w:multiLevelType w:val="hybridMultilevel"/>
    <w:tmpl w:val="0A4C53A2"/>
    <w:lvl w:ilvl="0" w:tplc="66E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7187"/>
    <w:multiLevelType w:val="hybridMultilevel"/>
    <w:tmpl w:val="3D44D8FE"/>
    <w:lvl w:ilvl="0" w:tplc="279E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826D7"/>
    <w:multiLevelType w:val="hybridMultilevel"/>
    <w:tmpl w:val="C3F89E1E"/>
    <w:lvl w:ilvl="0" w:tplc="6192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32"/>
  </w:num>
  <w:num w:numId="5">
    <w:abstractNumId w:val="28"/>
  </w:num>
  <w:num w:numId="6">
    <w:abstractNumId w:val="2"/>
  </w:num>
  <w:num w:numId="7">
    <w:abstractNumId w:val="20"/>
  </w:num>
  <w:num w:numId="8">
    <w:abstractNumId w:val="23"/>
  </w:num>
  <w:num w:numId="9">
    <w:abstractNumId w:val="24"/>
  </w:num>
  <w:num w:numId="10">
    <w:abstractNumId w:val="31"/>
  </w:num>
  <w:num w:numId="11">
    <w:abstractNumId w:val="27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  <w:num w:numId="17">
    <w:abstractNumId w:val="10"/>
  </w:num>
  <w:num w:numId="18">
    <w:abstractNumId w:val="4"/>
  </w:num>
  <w:num w:numId="19">
    <w:abstractNumId w:val="19"/>
  </w:num>
  <w:num w:numId="20">
    <w:abstractNumId w:val="9"/>
  </w:num>
  <w:num w:numId="21">
    <w:abstractNumId w:val="26"/>
  </w:num>
  <w:num w:numId="22">
    <w:abstractNumId w:val="11"/>
  </w:num>
  <w:num w:numId="23">
    <w:abstractNumId w:val="1"/>
  </w:num>
  <w:num w:numId="24">
    <w:abstractNumId w:val="38"/>
  </w:num>
  <w:num w:numId="25">
    <w:abstractNumId w:val="34"/>
  </w:num>
  <w:num w:numId="26">
    <w:abstractNumId w:val="37"/>
  </w:num>
  <w:num w:numId="27">
    <w:abstractNumId w:val="8"/>
  </w:num>
  <w:num w:numId="28">
    <w:abstractNumId w:val="21"/>
  </w:num>
  <w:num w:numId="29">
    <w:abstractNumId w:val="5"/>
  </w:num>
  <w:num w:numId="30">
    <w:abstractNumId w:val="15"/>
  </w:num>
  <w:num w:numId="31">
    <w:abstractNumId w:val="12"/>
  </w:num>
  <w:num w:numId="32">
    <w:abstractNumId w:val="6"/>
  </w:num>
  <w:num w:numId="33">
    <w:abstractNumId w:val="33"/>
  </w:num>
  <w:num w:numId="34">
    <w:abstractNumId w:val="35"/>
  </w:num>
  <w:num w:numId="35">
    <w:abstractNumId w:val="30"/>
  </w:num>
  <w:num w:numId="36">
    <w:abstractNumId w:val="29"/>
  </w:num>
  <w:num w:numId="37">
    <w:abstractNumId w:val="22"/>
  </w:num>
  <w:num w:numId="38">
    <w:abstractNumId w:val="18"/>
  </w:num>
  <w:num w:numId="39">
    <w:abstractNumId w:val="36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96"/>
    <w:rsid w:val="0000036C"/>
    <w:rsid w:val="00003C91"/>
    <w:rsid w:val="0000459B"/>
    <w:rsid w:val="00004F26"/>
    <w:rsid w:val="000132A4"/>
    <w:rsid w:val="00015E99"/>
    <w:rsid w:val="00017AFD"/>
    <w:rsid w:val="00024D78"/>
    <w:rsid w:val="000339A6"/>
    <w:rsid w:val="00045826"/>
    <w:rsid w:val="000525AC"/>
    <w:rsid w:val="00053EFD"/>
    <w:rsid w:val="00055CE8"/>
    <w:rsid w:val="00060362"/>
    <w:rsid w:val="00073FF9"/>
    <w:rsid w:val="00082D40"/>
    <w:rsid w:val="000865EC"/>
    <w:rsid w:val="00095B2F"/>
    <w:rsid w:val="000B07C2"/>
    <w:rsid w:val="000B3264"/>
    <w:rsid w:val="000D184F"/>
    <w:rsid w:val="000D456F"/>
    <w:rsid w:val="000E0435"/>
    <w:rsid w:val="000E6444"/>
    <w:rsid w:val="000E7159"/>
    <w:rsid w:val="000F03E9"/>
    <w:rsid w:val="000F60B7"/>
    <w:rsid w:val="001174E4"/>
    <w:rsid w:val="00121EC9"/>
    <w:rsid w:val="001243C7"/>
    <w:rsid w:val="00124795"/>
    <w:rsid w:val="0013220D"/>
    <w:rsid w:val="001353DF"/>
    <w:rsid w:val="00143C8C"/>
    <w:rsid w:val="00152C90"/>
    <w:rsid w:val="00156070"/>
    <w:rsid w:val="00164E89"/>
    <w:rsid w:val="00173C6C"/>
    <w:rsid w:val="00180F84"/>
    <w:rsid w:val="00183D33"/>
    <w:rsid w:val="001877A6"/>
    <w:rsid w:val="00196714"/>
    <w:rsid w:val="001A6ECC"/>
    <w:rsid w:val="001B2040"/>
    <w:rsid w:val="001B28F0"/>
    <w:rsid w:val="001B2CC9"/>
    <w:rsid w:val="001B7009"/>
    <w:rsid w:val="001C2FE0"/>
    <w:rsid w:val="001D4B79"/>
    <w:rsid w:val="001D7469"/>
    <w:rsid w:val="001D7A76"/>
    <w:rsid w:val="001E5FAE"/>
    <w:rsid w:val="001E7208"/>
    <w:rsid w:val="001E7CF1"/>
    <w:rsid w:val="001F42EA"/>
    <w:rsid w:val="00200312"/>
    <w:rsid w:val="0020083C"/>
    <w:rsid w:val="002059B4"/>
    <w:rsid w:val="002105CA"/>
    <w:rsid w:val="002146FB"/>
    <w:rsid w:val="002200EE"/>
    <w:rsid w:val="00220D50"/>
    <w:rsid w:val="00224CCC"/>
    <w:rsid w:val="002250F6"/>
    <w:rsid w:val="00230FDD"/>
    <w:rsid w:val="0023307B"/>
    <w:rsid w:val="00234BAD"/>
    <w:rsid w:val="00234F6E"/>
    <w:rsid w:val="002360F7"/>
    <w:rsid w:val="00242862"/>
    <w:rsid w:val="00243507"/>
    <w:rsid w:val="0024373F"/>
    <w:rsid w:val="002459E8"/>
    <w:rsid w:val="00247B29"/>
    <w:rsid w:val="0025071C"/>
    <w:rsid w:val="00257CFE"/>
    <w:rsid w:val="002613FD"/>
    <w:rsid w:val="00263573"/>
    <w:rsid w:val="002644C4"/>
    <w:rsid w:val="00264A56"/>
    <w:rsid w:val="00267522"/>
    <w:rsid w:val="00272F45"/>
    <w:rsid w:val="00273852"/>
    <w:rsid w:val="00274FB3"/>
    <w:rsid w:val="002757BF"/>
    <w:rsid w:val="00291A95"/>
    <w:rsid w:val="00295461"/>
    <w:rsid w:val="00297AFE"/>
    <w:rsid w:val="002A0288"/>
    <w:rsid w:val="002B0B4F"/>
    <w:rsid w:val="002B2BAE"/>
    <w:rsid w:val="002B2EC2"/>
    <w:rsid w:val="002C4803"/>
    <w:rsid w:val="002D435C"/>
    <w:rsid w:val="002D4935"/>
    <w:rsid w:val="002E3FF7"/>
    <w:rsid w:val="002F5C01"/>
    <w:rsid w:val="002F750A"/>
    <w:rsid w:val="0031228C"/>
    <w:rsid w:val="003211BC"/>
    <w:rsid w:val="003219FF"/>
    <w:rsid w:val="0033199D"/>
    <w:rsid w:val="003370A9"/>
    <w:rsid w:val="00340323"/>
    <w:rsid w:val="00354407"/>
    <w:rsid w:val="00356B3A"/>
    <w:rsid w:val="00362449"/>
    <w:rsid w:val="003675F1"/>
    <w:rsid w:val="003704E8"/>
    <w:rsid w:val="003875E3"/>
    <w:rsid w:val="00397137"/>
    <w:rsid w:val="003A25CA"/>
    <w:rsid w:val="003A3292"/>
    <w:rsid w:val="003B73A3"/>
    <w:rsid w:val="003C6204"/>
    <w:rsid w:val="003E03E0"/>
    <w:rsid w:val="003E7B81"/>
    <w:rsid w:val="003F556D"/>
    <w:rsid w:val="004038F6"/>
    <w:rsid w:val="00404907"/>
    <w:rsid w:val="004053A4"/>
    <w:rsid w:val="00406E67"/>
    <w:rsid w:val="004078D1"/>
    <w:rsid w:val="00411279"/>
    <w:rsid w:val="0041344E"/>
    <w:rsid w:val="00420DFE"/>
    <w:rsid w:val="00421F75"/>
    <w:rsid w:val="0042436F"/>
    <w:rsid w:val="0042529E"/>
    <w:rsid w:val="00431024"/>
    <w:rsid w:val="004349DC"/>
    <w:rsid w:val="00434E61"/>
    <w:rsid w:val="00444762"/>
    <w:rsid w:val="004451F6"/>
    <w:rsid w:val="004608CC"/>
    <w:rsid w:val="00462D66"/>
    <w:rsid w:val="004826A2"/>
    <w:rsid w:val="00484336"/>
    <w:rsid w:val="00494C45"/>
    <w:rsid w:val="004A6416"/>
    <w:rsid w:val="004C23E6"/>
    <w:rsid w:val="004C5069"/>
    <w:rsid w:val="004D19D1"/>
    <w:rsid w:val="004E398D"/>
    <w:rsid w:val="004F4EA9"/>
    <w:rsid w:val="004F531B"/>
    <w:rsid w:val="004F6D6C"/>
    <w:rsid w:val="00502D49"/>
    <w:rsid w:val="00521242"/>
    <w:rsid w:val="00521502"/>
    <w:rsid w:val="00525290"/>
    <w:rsid w:val="005354EA"/>
    <w:rsid w:val="005446C9"/>
    <w:rsid w:val="00550900"/>
    <w:rsid w:val="00553731"/>
    <w:rsid w:val="0055775B"/>
    <w:rsid w:val="00561329"/>
    <w:rsid w:val="00565F58"/>
    <w:rsid w:val="00575AD3"/>
    <w:rsid w:val="00582DD1"/>
    <w:rsid w:val="00584D05"/>
    <w:rsid w:val="005A0C2B"/>
    <w:rsid w:val="005A6378"/>
    <w:rsid w:val="005A6CC8"/>
    <w:rsid w:val="005B4A81"/>
    <w:rsid w:val="005B62DF"/>
    <w:rsid w:val="005D47B9"/>
    <w:rsid w:val="005D5DBC"/>
    <w:rsid w:val="005D6D06"/>
    <w:rsid w:val="005D7AA4"/>
    <w:rsid w:val="005E28A6"/>
    <w:rsid w:val="005E5F62"/>
    <w:rsid w:val="005E60DF"/>
    <w:rsid w:val="006116CF"/>
    <w:rsid w:val="00622716"/>
    <w:rsid w:val="0063730C"/>
    <w:rsid w:val="0064156F"/>
    <w:rsid w:val="006470D0"/>
    <w:rsid w:val="0065492D"/>
    <w:rsid w:val="006550EB"/>
    <w:rsid w:val="00660C25"/>
    <w:rsid w:val="00671A21"/>
    <w:rsid w:val="00677A5C"/>
    <w:rsid w:val="00687271"/>
    <w:rsid w:val="00695A0F"/>
    <w:rsid w:val="006B1175"/>
    <w:rsid w:val="006B157F"/>
    <w:rsid w:val="006B3C4F"/>
    <w:rsid w:val="006B42CE"/>
    <w:rsid w:val="006B48B2"/>
    <w:rsid w:val="006B7704"/>
    <w:rsid w:val="006C3F72"/>
    <w:rsid w:val="006C4B1A"/>
    <w:rsid w:val="006C5C0F"/>
    <w:rsid w:val="006C676D"/>
    <w:rsid w:val="006E4133"/>
    <w:rsid w:val="006E4A01"/>
    <w:rsid w:val="006E5C1F"/>
    <w:rsid w:val="006E7435"/>
    <w:rsid w:val="006F2876"/>
    <w:rsid w:val="007039A7"/>
    <w:rsid w:val="007163F4"/>
    <w:rsid w:val="00733BD8"/>
    <w:rsid w:val="00737399"/>
    <w:rsid w:val="00737987"/>
    <w:rsid w:val="00741829"/>
    <w:rsid w:val="0074394F"/>
    <w:rsid w:val="007440BB"/>
    <w:rsid w:val="007662E0"/>
    <w:rsid w:val="0077196A"/>
    <w:rsid w:val="007A5B63"/>
    <w:rsid w:val="007C273E"/>
    <w:rsid w:val="007C5705"/>
    <w:rsid w:val="007C6EC6"/>
    <w:rsid w:val="007D1E87"/>
    <w:rsid w:val="007D3DD8"/>
    <w:rsid w:val="007F21DC"/>
    <w:rsid w:val="00804BB3"/>
    <w:rsid w:val="008054D6"/>
    <w:rsid w:val="0080633F"/>
    <w:rsid w:val="0082474F"/>
    <w:rsid w:val="0083389D"/>
    <w:rsid w:val="008420E5"/>
    <w:rsid w:val="00852BF7"/>
    <w:rsid w:val="00860C93"/>
    <w:rsid w:val="00891368"/>
    <w:rsid w:val="008941CD"/>
    <w:rsid w:val="008958FF"/>
    <w:rsid w:val="00896BC6"/>
    <w:rsid w:val="0089793F"/>
    <w:rsid w:val="008A7586"/>
    <w:rsid w:val="008B4585"/>
    <w:rsid w:val="008C0A48"/>
    <w:rsid w:val="008C3B62"/>
    <w:rsid w:val="008E47C4"/>
    <w:rsid w:val="008F4CE2"/>
    <w:rsid w:val="008F5C66"/>
    <w:rsid w:val="009019E9"/>
    <w:rsid w:val="009131DA"/>
    <w:rsid w:val="009135DE"/>
    <w:rsid w:val="00916BAB"/>
    <w:rsid w:val="00925C01"/>
    <w:rsid w:val="0093150D"/>
    <w:rsid w:val="00934CDE"/>
    <w:rsid w:val="00946BC3"/>
    <w:rsid w:val="00954592"/>
    <w:rsid w:val="00964FAB"/>
    <w:rsid w:val="00965D64"/>
    <w:rsid w:val="00976132"/>
    <w:rsid w:val="0097767B"/>
    <w:rsid w:val="00980E3A"/>
    <w:rsid w:val="0098283F"/>
    <w:rsid w:val="009933B7"/>
    <w:rsid w:val="009A53A2"/>
    <w:rsid w:val="009A5ED5"/>
    <w:rsid w:val="009B5D39"/>
    <w:rsid w:val="009B65AE"/>
    <w:rsid w:val="009C1785"/>
    <w:rsid w:val="009C1827"/>
    <w:rsid w:val="009C500B"/>
    <w:rsid w:val="009C5B97"/>
    <w:rsid w:val="009D1F2D"/>
    <w:rsid w:val="009D391B"/>
    <w:rsid w:val="009E45A9"/>
    <w:rsid w:val="009F2491"/>
    <w:rsid w:val="009F4EAB"/>
    <w:rsid w:val="009F5AEC"/>
    <w:rsid w:val="009F609F"/>
    <w:rsid w:val="00A04E0B"/>
    <w:rsid w:val="00A14F96"/>
    <w:rsid w:val="00A23D97"/>
    <w:rsid w:val="00A23DD7"/>
    <w:rsid w:val="00A34813"/>
    <w:rsid w:val="00A34A41"/>
    <w:rsid w:val="00A37B0C"/>
    <w:rsid w:val="00A4582A"/>
    <w:rsid w:val="00A55EDA"/>
    <w:rsid w:val="00A66BEE"/>
    <w:rsid w:val="00A7596E"/>
    <w:rsid w:val="00AB069B"/>
    <w:rsid w:val="00AD3865"/>
    <w:rsid w:val="00AD7115"/>
    <w:rsid w:val="00AE2659"/>
    <w:rsid w:val="00AE38F7"/>
    <w:rsid w:val="00AF670E"/>
    <w:rsid w:val="00B01DD9"/>
    <w:rsid w:val="00B10598"/>
    <w:rsid w:val="00B10829"/>
    <w:rsid w:val="00B17A89"/>
    <w:rsid w:val="00B21CC6"/>
    <w:rsid w:val="00B22001"/>
    <w:rsid w:val="00B26308"/>
    <w:rsid w:val="00B401C2"/>
    <w:rsid w:val="00B403F3"/>
    <w:rsid w:val="00B41817"/>
    <w:rsid w:val="00B45A80"/>
    <w:rsid w:val="00B45C66"/>
    <w:rsid w:val="00B500A8"/>
    <w:rsid w:val="00B55391"/>
    <w:rsid w:val="00B56B1F"/>
    <w:rsid w:val="00B84F60"/>
    <w:rsid w:val="00B93EE7"/>
    <w:rsid w:val="00B97067"/>
    <w:rsid w:val="00BB5877"/>
    <w:rsid w:val="00BC5AB1"/>
    <w:rsid w:val="00BE1CD8"/>
    <w:rsid w:val="00BE3782"/>
    <w:rsid w:val="00BF2A32"/>
    <w:rsid w:val="00C07A62"/>
    <w:rsid w:val="00C11B77"/>
    <w:rsid w:val="00C12DB9"/>
    <w:rsid w:val="00C20413"/>
    <w:rsid w:val="00C2652E"/>
    <w:rsid w:val="00C26611"/>
    <w:rsid w:val="00C35E63"/>
    <w:rsid w:val="00C42D65"/>
    <w:rsid w:val="00C43E0C"/>
    <w:rsid w:val="00C45896"/>
    <w:rsid w:val="00C47DF5"/>
    <w:rsid w:val="00C50338"/>
    <w:rsid w:val="00C55D64"/>
    <w:rsid w:val="00C609E6"/>
    <w:rsid w:val="00C62F4E"/>
    <w:rsid w:val="00C63473"/>
    <w:rsid w:val="00C651B2"/>
    <w:rsid w:val="00C661A0"/>
    <w:rsid w:val="00C70A54"/>
    <w:rsid w:val="00C71144"/>
    <w:rsid w:val="00C71699"/>
    <w:rsid w:val="00C75ED9"/>
    <w:rsid w:val="00C916C5"/>
    <w:rsid w:val="00C92A0A"/>
    <w:rsid w:val="00C943AF"/>
    <w:rsid w:val="00CA2613"/>
    <w:rsid w:val="00CA489A"/>
    <w:rsid w:val="00CB1754"/>
    <w:rsid w:val="00CB1E73"/>
    <w:rsid w:val="00CB34EF"/>
    <w:rsid w:val="00CB47DD"/>
    <w:rsid w:val="00CB647B"/>
    <w:rsid w:val="00CC103E"/>
    <w:rsid w:val="00CC1BCA"/>
    <w:rsid w:val="00CC260F"/>
    <w:rsid w:val="00CC75EF"/>
    <w:rsid w:val="00CD32AC"/>
    <w:rsid w:val="00CE7FCC"/>
    <w:rsid w:val="00D0275F"/>
    <w:rsid w:val="00D117A8"/>
    <w:rsid w:val="00D15714"/>
    <w:rsid w:val="00D15C38"/>
    <w:rsid w:val="00D208CD"/>
    <w:rsid w:val="00D252ED"/>
    <w:rsid w:val="00D26D90"/>
    <w:rsid w:val="00D36892"/>
    <w:rsid w:val="00D4565D"/>
    <w:rsid w:val="00D65587"/>
    <w:rsid w:val="00D81093"/>
    <w:rsid w:val="00D8267E"/>
    <w:rsid w:val="00D83342"/>
    <w:rsid w:val="00D83B53"/>
    <w:rsid w:val="00D95924"/>
    <w:rsid w:val="00DA0AFB"/>
    <w:rsid w:val="00DB09B2"/>
    <w:rsid w:val="00DB22BA"/>
    <w:rsid w:val="00DD314C"/>
    <w:rsid w:val="00DD39C5"/>
    <w:rsid w:val="00DD45B7"/>
    <w:rsid w:val="00DE0E57"/>
    <w:rsid w:val="00DE7D2E"/>
    <w:rsid w:val="00DE7D3C"/>
    <w:rsid w:val="00E04443"/>
    <w:rsid w:val="00E0449A"/>
    <w:rsid w:val="00E15260"/>
    <w:rsid w:val="00E15718"/>
    <w:rsid w:val="00E15A66"/>
    <w:rsid w:val="00E16ABB"/>
    <w:rsid w:val="00E16BA7"/>
    <w:rsid w:val="00E33B87"/>
    <w:rsid w:val="00E52F21"/>
    <w:rsid w:val="00E53C92"/>
    <w:rsid w:val="00E61F0B"/>
    <w:rsid w:val="00E6739E"/>
    <w:rsid w:val="00E71EAE"/>
    <w:rsid w:val="00E721BA"/>
    <w:rsid w:val="00E72BC4"/>
    <w:rsid w:val="00E76CD6"/>
    <w:rsid w:val="00E77618"/>
    <w:rsid w:val="00E865F4"/>
    <w:rsid w:val="00E9001A"/>
    <w:rsid w:val="00E90659"/>
    <w:rsid w:val="00EA736D"/>
    <w:rsid w:val="00EB6EFB"/>
    <w:rsid w:val="00EC1BDC"/>
    <w:rsid w:val="00ED1B6E"/>
    <w:rsid w:val="00ED27EB"/>
    <w:rsid w:val="00ED2BC7"/>
    <w:rsid w:val="00ED31DB"/>
    <w:rsid w:val="00ED397F"/>
    <w:rsid w:val="00ED647F"/>
    <w:rsid w:val="00EE02C8"/>
    <w:rsid w:val="00EE61F1"/>
    <w:rsid w:val="00EE6721"/>
    <w:rsid w:val="00EF675D"/>
    <w:rsid w:val="00F005FD"/>
    <w:rsid w:val="00F014B3"/>
    <w:rsid w:val="00F23267"/>
    <w:rsid w:val="00F234A4"/>
    <w:rsid w:val="00F464DB"/>
    <w:rsid w:val="00F509D3"/>
    <w:rsid w:val="00F56B01"/>
    <w:rsid w:val="00F608B4"/>
    <w:rsid w:val="00F61D69"/>
    <w:rsid w:val="00F67AB1"/>
    <w:rsid w:val="00F70F8E"/>
    <w:rsid w:val="00F81897"/>
    <w:rsid w:val="00F92975"/>
    <w:rsid w:val="00FA0E1B"/>
    <w:rsid w:val="00FB0824"/>
    <w:rsid w:val="00FB7A50"/>
    <w:rsid w:val="00FC34C2"/>
    <w:rsid w:val="00FD024B"/>
    <w:rsid w:val="00FD171F"/>
    <w:rsid w:val="00FD45D4"/>
    <w:rsid w:val="00FD46C8"/>
    <w:rsid w:val="00FE0696"/>
    <w:rsid w:val="00FE720F"/>
    <w:rsid w:val="00FE7B76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6E"/>
  </w:style>
  <w:style w:type="paragraph" w:styleId="Pieddepage">
    <w:name w:val="footer"/>
    <w:basedOn w:val="Normal"/>
    <w:link w:val="Pieddepag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6E"/>
  </w:style>
  <w:style w:type="paragraph" w:styleId="Textedebulles">
    <w:name w:val="Balloon Text"/>
    <w:basedOn w:val="Normal"/>
    <w:link w:val="TextedebullesCar"/>
    <w:uiPriority w:val="99"/>
    <w:semiHidden/>
    <w:unhideWhenUsed/>
    <w:rsid w:val="00A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3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A960CCF4C64CE9A605ECC322CBC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02CE8-8C96-4407-B90C-CBBE626D7F8E}"/>
      </w:docPartPr>
      <w:docPartBody>
        <w:p w:rsidR="00000000" w:rsidRDefault="00EA24EB" w:rsidP="00EA24EB">
          <w:pPr>
            <w:pStyle w:val="80A960CCF4C64CE9A605ECC322CBC75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1356711FF3C48CE89A9342C9FF3C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0EEF1-9EAE-4E85-AC7E-EFB6A31D5826}"/>
      </w:docPartPr>
      <w:docPartBody>
        <w:p w:rsidR="00000000" w:rsidRDefault="00EA24EB" w:rsidP="00EA24EB">
          <w:pPr>
            <w:pStyle w:val="F1356711FF3C48CE89A9342C9FF3C48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24EB"/>
    <w:rsid w:val="0030194A"/>
    <w:rsid w:val="00EA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A960CCF4C64CE9A605ECC322CBC751">
    <w:name w:val="80A960CCF4C64CE9A605ECC322CBC751"/>
    <w:rsid w:val="00EA24EB"/>
  </w:style>
  <w:style w:type="paragraph" w:customStyle="1" w:styleId="F1356711FF3C48CE89A9342C9FF3C486">
    <w:name w:val="F1356711FF3C48CE89A9342C9FF3C486"/>
    <w:rsid w:val="00EA24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8A32B5-F5F1-47CB-A641-B276175E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4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des cas de fiscalité approfondie : CES révision comptable, ISG Tunis </dc:title>
  <dc:subject/>
  <dc:creator>mounir</dc:creator>
  <cp:keywords/>
  <dc:description/>
  <cp:lastModifiedBy>mounir</cp:lastModifiedBy>
  <cp:revision>195</cp:revision>
  <cp:lastPrinted>2013-03-06T12:58:00Z</cp:lastPrinted>
  <dcterms:created xsi:type="dcterms:W3CDTF">2012-10-23T11:29:00Z</dcterms:created>
  <dcterms:modified xsi:type="dcterms:W3CDTF">2014-01-19T14:52:00Z</dcterms:modified>
</cp:coreProperties>
</file>