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CC" w:rsidRDefault="00F7473C" w:rsidP="00E015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47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Art. 5</w:t>
      </w:r>
    </w:p>
    <w:p w:rsidR="00E015CC" w:rsidRDefault="00F7473C" w:rsidP="00E0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4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015CC" w:rsidRPr="00F7473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F74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générateur de la taxe sur la valeur ajoutée est constitué :</w:t>
      </w:r>
    </w:p>
    <w:tbl>
      <w:tblPr>
        <w:tblStyle w:val="Grilledutableau"/>
        <w:tblW w:w="0" w:type="auto"/>
        <w:tblLook w:val="04A0"/>
      </w:tblPr>
      <w:tblGrid>
        <w:gridCol w:w="3085"/>
        <w:gridCol w:w="6127"/>
      </w:tblGrid>
      <w:tr w:rsidR="00E015CC" w:rsidTr="00E015CC">
        <w:trPr>
          <w:trHeight w:val="392"/>
        </w:trPr>
        <w:tc>
          <w:tcPr>
            <w:tcW w:w="3085" w:type="dxa"/>
          </w:tcPr>
          <w:p w:rsidR="00E015CC" w:rsidRDefault="00E015CC" w:rsidP="00E01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</w:t>
            </w:r>
          </w:p>
        </w:tc>
        <w:tc>
          <w:tcPr>
            <w:tcW w:w="6127" w:type="dxa"/>
          </w:tcPr>
          <w:p w:rsidR="00E015CC" w:rsidRDefault="00E015CC" w:rsidP="00E01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</w:t>
            </w:r>
          </w:p>
        </w:tc>
      </w:tr>
      <w:tr w:rsidR="00E015CC" w:rsidTr="00E015CC">
        <w:tc>
          <w:tcPr>
            <w:tcW w:w="3085" w:type="dxa"/>
          </w:tcPr>
          <w:p w:rsidR="00E015CC" w:rsidRPr="00E015CC" w:rsidRDefault="00E015CC" w:rsidP="00E015CC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15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importations</w:t>
            </w:r>
          </w:p>
        </w:tc>
        <w:tc>
          <w:tcPr>
            <w:tcW w:w="6127" w:type="dxa"/>
          </w:tcPr>
          <w:p w:rsidR="00E015CC" w:rsidRPr="00E015CC" w:rsidRDefault="00E015CC" w:rsidP="00E015CC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15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Dédouanement </w:t>
            </w:r>
          </w:p>
        </w:tc>
      </w:tr>
      <w:tr w:rsidR="00E015CC" w:rsidTr="00E015CC">
        <w:trPr>
          <w:trHeight w:val="420"/>
        </w:trPr>
        <w:tc>
          <w:tcPr>
            <w:tcW w:w="3085" w:type="dxa"/>
          </w:tcPr>
          <w:p w:rsidR="00E015CC" w:rsidRPr="00E015CC" w:rsidRDefault="00E015CC" w:rsidP="00E015CC">
            <w:pPr>
              <w:pStyle w:val="Paragraphedeliste"/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15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ventes</w:t>
            </w:r>
          </w:p>
        </w:tc>
        <w:tc>
          <w:tcPr>
            <w:tcW w:w="6127" w:type="dxa"/>
          </w:tcPr>
          <w:p w:rsidR="00E015CC" w:rsidRPr="00E015CC" w:rsidRDefault="00E015CC" w:rsidP="00E015CC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15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Livraison</w:t>
            </w:r>
          </w:p>
        </w:tc>
      </w:tr>
      <w:tr w:rsidR="00E015CC" w:rsidTr="00E015CC">
        <w:trPr>
          <w:trHeight w:val="2129"/>
        </w:trPr>
        <w:tc>
          <w:tcPr>
            <w:tcW w:w="3085" w:type="dxa"/>
          </w:tcPr>
          <w:p w:rsidR="00E015CC" w:rsidRPr="00E015CC" w:rsidRDefault="00E015CC" w:rsidP="00DD77E0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vente d'immeubles ou de fonds de commerce effectuée par les personnes qui, habituellement, achètent ces biens en vue de leur revente</w:t>
            </w:r>
          </w:p>
        </w:tc>
        <w:tc>
          <w:tcPr>
            <w:tcW w:w="6127" w:type="dxa"/>
          </w:tcPr>
          <w:p w:rsidR="00E015CC" w:rsidRPr="00E015CC" w:rsidRDefault="00E015CC" w:rsidP="00DD77E0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E015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'acte qui constate l'opération ou à défaut par le transfert de propriété</w:t>
            </w:r>
          </w:p>
        </w:tc>
      </w:tr>
      <w:tr w:rsidR="00E015CC" w:rsidTr="00E015CC">
        <w:trPr>
          <w:trHeight w:val="969"/>
        </w:trPr>
        <w:tc>
          <w:tcPr>
            <w:tcW w:w="3085" w:type="dxa"/>
          </w:tcPr>
          <w:p w:rsidR="00E015CC" w:rsidRPr="00E015CC" w:rsidRDefault="00E015CC" w:rsidP="00DD77E0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prestations de services</w:t>
            </w:r>
          </w:p>
        </w:tc>
        <w:tc>
          <w:tcPr>
            <w:tcW w:w="6127" w:type="dxa"/>
          </w:tcPr>
          <w:p w:rsidR="00E015CC" w:rsidRPr="00E015CC" w:rsidRDefault="00E015CC" w:rsidP="00DD77E0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réalisation du service ou par l'encaissement du prix ou des acomptes lorsqu'il intervient antérieurement à la réalisation du service</w:t>
            </w:r>
          </w:p>
        </w:tc>
      </w:tr>
      <w:tr w:rsidR="00E015CC" w:rsidTr="00DD77E0">
        <w:trPr>
          <w:trHeight w:val="998"/>
        </w:trPr>
        <w:tc>
          <w:tcPr>
            <w:tcW w:w="3085" w:type="dxa"/>
          </w:tcPr>
          <w:p w:rsidR="00E015CC" w:rsidRPr="00E015CC" w:rsidRDefault="00E015CC" w:rsidP="00DD77E0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biens que les redevables se livrent à eux-mêmes</w:t>
            </w:r>
          </w:p>
        </w:tc>
        <w:tc>
          <w:tcPr>
            <w:tcW w:w="6127" w:type="dxa"/>
          </w:tcPr>
          <w:p w:rsidR="00E015CC" w:rsidRPr="00E015CC" w:rsidRDefault="00E015CC" w:rsidP="00E015CC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première utilisation des biens</w:t>
            </w:r>
          </w:p>
        </w:tc>
      </w:tr>
      <w:tr w:rsidR="00E015CC" w:rsidTr="00E015CC">
        <w:tc>
          <w:tcPr>
            <w:tcW w:w="3085" w:type="dxa"/>
          </w:tcPr>
          <w:p w:rsidR="00E015CC" w:rsidRPr="00F7473C" w:rsidRDefault="00E015CC" w:rsidP="00DD77E0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travaux immobiliers</w:t>
            </w:r>
          </w:p>
        </w:tc>
        <w:tc>
          <w:tcPr>
            <w:tcW w:w="6127" w:type="dxa"/>
          </w:tcPr>
          <w:p w:rsidR="00E015CC" w:rsidRDefault="00DD77E0" w:rsidP="00DD77E0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="00E015CC"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'exécution partielle ou totale de ces travaux</w:t>
            </w:r>
          </w:p>
          <w:p w:rsidR="00DD77E0" w:rsidRDefault="00DD77E0" w:rsidP="00DD77E0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constatation du fait générateur ne peut être postérieure à la facturation totale. L'établissement des décomptes provisoires, de mémoires ou factures partiels rend exigible la taxe sur la valeur ajoutée</w:t>
            </w:r>
          </w:p>
        </w:tc>
      </w:tr>
      <w:tr w:rsidR="00DD77E0" w:rsidTr="0026168C">
        <w:trPr>
          <w:trHeight w:val="70"/>
        </w:trPr>
        <w:tc>
          <w:tcPr>
            <w:tcW w:w="3085" w:type="dxa"/>
          </w:tcPr>
          <w:p w:rsidR="00302B00" w:rsidRPr="0026168C" w:rsidRDefault="00812732" w:rsidP="0026168C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travaux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effectués par les entreprises de travaux publics et de bâtiment 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le compte de l'Etat, des collectivités publiques locales, des établissements publics à caractère administratif</w:t>
            </w:r>
          </w:p>
          <w:p w:rsidR="00302B00" w:rsidRPr="00302B00" w:rsidRDefault="00302B00" w:rsidP="00302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127" w:type="dxa"/>
          </w:tcPr>
          <w:p w:rsidR="009166E5" w:rsidRDefault="00E7562A" w:rsidP="009166E5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Ces entreprises 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acquittent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TVA 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leurs encaissements afférents aux dits travaux</w:t>
            </w:r>
          </w:p>
          <w:p w:rsidR="009166E5" w:rsidRPr="009166E5" w:rsidRDefault="000B18FA" w:rsidP="009166E5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FG </w:t>
            </w:r>
            <w:r w:rsidR="009166E5"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tel que prévu au </w:t>
            </w:r>
            <w:hyperlink r:id="rId7" w:anchor="3" w:history="1">
              <w:r w:rsidR="009166E5" w:rsidRPr="00F74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§ 3</w:t>
              </w:r>
            </w:hyperlink>
            <w:r w:rsidR="009166E5"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ci-dessus détermine le taux de taxe applicable.</w:t>
            </w:r>
          </w:p>
        </w:tc>
      </w:tr>
      <w:tr w:rsidR="000B18FA" w:rsidTr="00302B00">
        <w:trPr>
          <w:trHeight w:val="2068"/>
        </w:trPr>
        <w:tc>
          <w:tcPr>
            <w:tcW w:w="3085" w:type="dxa"/>
          </w:tcPr>
          <w:p w:rsidR="000B18FA" w:rsidRPr="00302B00" w:rsidRDefault="000B18FA" w:rsidP="00302B00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</w:pPr>
            <w:r w:rsidRPr="00302B0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  <w:lastRenderedPageBreak/>
              <w:t xml:space="preserve">Les marchés conclus avec </w:t>
            </w:r>
            <w:r w:rsidR="00302B00" w:rsidRPr="00302B0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  <w:t>l’Etat,</w:t>
            </w:r>
            <w:r w:rsidRPr="00302B0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  <w:t xml:space="preserve"> les collectivités </w:t>
            </w:r>
            <w:r w:rsidR="00302B00" w:rsidRPr="00302B0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  <w:t>locales,</w:t>
            </w:r>
            <w:r w:rsidRPr="00302B0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  <w:t xml:space="preserve"> les entreprises et les établissements publics</w:t>
            </w:r>
          </w:p>
        </w:tc>
        <w:tc>
          <w:tcPr>
            <w:tcW w:w="6127" w:type="dxa"/>
          </w:tcPr>
          <w:p w:rsidR="000B18FA" w:rsidRPr="00302B00" w:rsidRDefault="000B18FA" w:rsidP="00302B00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</w:pPr>
            <w:r w:rsidRPr="00302B0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  <w:t>Par l’encaissement</w:t>
            </w:r>
          </w:p>
          <w:p w:rsidR="000B18FA" w:rsidRPr="00302B00" w:rsidRDefault="000B18FA" w:rsidP="00302B00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</w:pPr>
            <w:r w:rsidRPr="00302B0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fr-FR"/>
              </w:rPr>
              <w:t>Le FG tel que prévu aux paragraphes 2 et 3 ci-dessus détermine le taux de la taxe applicable.</w:t>
            </w:r>
          </w:p>
        </w:tc>
      </w:tr>
      <w:tr w:rsidR="00302B00" w:rsidTr="00302B00">
        <w:trPr>
          <w:trHeight w:val="1983"/>
        </w:trPr>
        <w:tc>
          <w:tcPr>
            <w:tcW w:w="3085" w:type="dxa"/>
          </w:tcPr>
          <w:p w:rsidR="00302B00" w:rsidRPr="00302B00" w:rsidRDefault="00302B00" w:rsidP="00030777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 opérations concernées par la retenue à la source prévue par les articles </w:t>
            </w:r>
            <w:hyperlink r:id="rId8" w:anchor="19" w:tgtFrame="_blank" w:history="1">
              <w:r w:rsidRPr="00F74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19</w:t>
              </w:r>
            </w:hyperlink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hyperlink r:id="rId9" w:anchor="19b" w:tgtFrame="_blank" w:history="1">
              <w:r w:rsidRPr="00F74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19 bis</w:t>
              </w:r>
            </w:hyperlink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présent code.</w:t>
            </w:r>
          </w:p>
        </w:tc>
        <w:tc>
          <w:tcPr>
            <w:tcW w:w="6127" w:type="dxa"/>
          </w:tcPr>
          <w:p w:rsidR="00302B00" w:rsidRDefault="00302B00" w:rsidP="00030777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'encaissement</w:t>
            </w:r>
          </w:p>
          <w:p w:rsidR="00030777" w:rsidRPr="00302B00" w:rsidRDefault="00030777" w:rsidP="00030777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FG </w:t>
            </w:r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tel que prévu par les paragraphes </w:t>
            </w:r>
            <w:hyperlink r:id="rId10" w:anchor="2" w:history="1">
              <w:r w:rsidRPr="00F74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</w:t>
              </w:r>
            </w:hyperlink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hyperlink r:id="rId11" w:anchor="3" w:history="1">
              <w:r w:rsidRPr="00F74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</w:t>
              </w:r>
            </w:hyperlink>
            <w:r w:rsidRPr="00F747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ci-dessus, détermine le taux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TVA</w:t>
            </w:r>
          </w:p>
        </w:tc>
      </w:tr>
    </w:tbl>
    <w:p w:rsidR="00DB6D01" w:rsidRDefault="00E979BC"/>
    <w:sectPr w:rsidR="00DB6D01" w:rsidSect="0045171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BC" w:rsidRDefault="00E979BC" w:rsidP="007E4FB1">
      <w:pPr>
        <w:spacing w:after="0" w:line="240" w:lineRule="auto"/>
      </w:pPr>
      <w:r>
        <w:separator/>
      </w:r>
    </w:p>
  </w:endnote>
  <w:endnote w:type="continuationSeparator" w:id="0">
    <w:p w:rsidR="00E979BC" w:rsidRDefault="00E979BC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B35153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26168C">
            <w:rPr>
              <w:noProof/>
              <w:color w:val="262626" w:themeColor="text1" w:themeTint="D9"/>
            </w:rPr>
            <w:t>2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BC" w:rsidRDefault="00E979BC" w:rsidP="007E4FB1">
      <w:pPr>
        <w:spacing w:after="0" w:line="240" w:lineRule="auto"/>
      </w:pPr>
      <w:r>
        <w:separator/>
      </w:r>
    </w:p>
  </w:footnote>
  <w:footnote w:type="continuationSeparator" w:id="0">
    <w:p w:rsidR="00E979BC" w:rsidRDefault="00E979BC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E4FB1" w:rsidP="00F7473C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Code de la TVA                                                                                                                                Chapitre </w:t>
              </w:r>
              <w:r w:rsidR="00F7473C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–</w:t>
              </w:r>
              <w:r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 w:rsidR="00F7473C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Règles d’assiette        </w:t>
              </w:r>
              <w:r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</w:t>
              </w:r>
              <w:r w:rsidR="00F7473C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Section – Fait générateur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352"/>
    <w:multiLevelType w:val="hybridMultilevel"/>
    <w:tmpl w:val="0C6E2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B5320"/>
    <w:multiLevelType w:val="multilevel"/>
    <w:tmpl w:val="A044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96014"/>
    <w:multiLevelType w:val="hybridMultilevel"/>
    <w:tmpl w:val="747C5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C2A6D"/>
    <w:multiLevelType w:val="hybridMultilevel"/>
    <w:tmpl w:val="774656AA"/>
    <w:lvl w:ilvl="0" w:tplc="3FA6539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466A0"/>
    <w:multiLevelType w:val="hybridMultilevel"/>
    <w:tmpl w:val="969C60BE"/>
    <w:lvl w:ilvl="0" w:tplc="3FA6539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030777"/>
    <w:rsid w:val="000B18FA"/>
    <w:rsid w:val="00240A34"/>
    <w:rsid w:val="0026168C"/>
    <w:rsid w:val="00302B00"/>
    <w:rsid w:val="0045171B"/>
    <w:rsid w:val="004F5DBF"/>
    <w:rsid w:val="00616E68"/>
    <w:rsid w:val="006A53B6"/>
    <w:rsid w:val="006E0275"/>
    <w:rsid w:val="007E4FB1"/>
    <w:rsid w:val="00812732"/>
    <w:rsid w:val="009166E5"/>
    <w:rsid w:val="00B35153"/>
    <w:rsid w:val="00D736F1"/>
    <w:rsid w:val="00DD77E0"/>
    <w:rsid w:val="00E015CC"/>
    <w:rsid w:val="00E7562A"/>
    <w:rsid w:val="00E979BC"/>
    <w:rsid w:val="00F7473C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473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0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1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eur\Bureau\Stage\Code%20TVA\tva1060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istrateur\Bureau\Stage\Code%20TVA\tva1025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Administrateur\Bureau\Stage\Code%20TVA\tva1025.ht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Documents%20and%20Settings\Administrateur\Bureau\Stage\Code%20TVA\tva102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istrateur\Bureau\Stage\Code%20TVA\tva1060.ht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322ACA"/>
    <w:rsid w:val="008340D3"/>
    <w:rsid w:val="009F599A"/>
    <w:rsid w:val="00B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 la TVA                                                                                                                                Chapitre - Champ d'Application                                                                            Section</vt:lpstr>
    </vt:vector>
  </TitlesOfParts>
  <Company>.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 la TVA                                                                                                                                Chapitre – Règles d’assiette                                                                                    Section – Fait générateur</dc:title>
  <dc:subject/>
  <dc:creator>.</dc:creator>
  <cp:keywords/>
  <dc:description/>
  <cp:lastModifiedBy>.</cp:lastModifiedBy>
  <cp:revision>12</cp:revision>
  <dcterms:created xsi:type="dcterms:W3CDTF">2012-02-08T16:21:00Z</dcterms:created>
  <dcterms:modified xsi:type="dcterms:W3CDTF">2012-02-09T10:19:00Z</dcterms:modified>
</cp:coreProperties>
</file>