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9D" w:rsidRDefault="00E5539D" w:rsidP="00FF7F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FF7F65">
        <w:rPr>
          <w:rFonts w:ascii="Times New Roman" w:hAnsi="Times New Roman" w:cs="Times New Roman"/>
          <w:b/>
          <w:bCs/>
        </w:rPr>
        <w:t>Article 21 </w:t>
      </w:r>
      <w:r w:rsidR="00F90677" w:rsidRPr="00FF7F65">
        <w:rPr>
          <w:rFonts w:ascii="Times New Roman" w:hAnsi="Times New Roman" w:cs="Times New Roman"/>
          <w:b/>
          <w:bCs/>
        </w:rPr>
        <w:t>: Cas</w:t>
      </w:r>
      <w:r w:rsidRPr="00FF7F65">
        <w:rPr>
          <w:rFonts w:ascii="Times New Roman" w:hAnsi="Times New Roman" w:cs="Times New Roman"/>
          <w:b/>
          <w:bCs/>
        </w:rPr>
        <w:t xml:space="preserve"> de dissolution</w:t>
      </w:r>
    </w:p>
    <w:p w:rsidR="00B72A77" w:rsidRPr="00FF7F65" w:rsidRDefault="00B72A77" w:rsidP="00FF7F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5539D" w:rsidRPr="00FF7F65" w:rsidRDefault="00E5539D" w:rsidP="00FF7F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F7F65">
        <w:rPr>
          <w:rFonts w:ascii="Times New Roman" w:hAnsi="Times New Roman" w:cs="Times New Roman"/>
        </w:rPr>
        <w:t>La société est dissoute dans les cas suivants :</w:t>
      </w:r>
    </w:p>
    <w:p w:rsidR="00E5539D" w:rsidRPr="00FF7F65" w:rsidRDefault="00E5539D" w:rsidP="00FF7F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F7F65">
        <w:rPr>
          <w:rFonts w:ascii="Times New Roman" w:hAnsi="Times New Roman" w:cs="Times New Roman"/>
        </w:rPr>
        <w:t>1) par l'expiration de sa durée,</w:t>
      </w:r>
    </w:p>
    <w:p w:rsidR="00E5539D" w:rsidRPr="00FF7F65" w:rsidRDefault="00E5539D" w:rsidP="00FF7F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F7F65">
        <w:rPr>
          <w:rFonts w:ascii="Times New Roman" w:hAnsi="Times New Roman" w:cs="Times New Roman"/>
        </w:rPr>
        <w:t>2) par la fin de son activité sociale,</w:t>
      </w:r>
    </w:p>
    <w:p w:rsidR="00E5539D" w:rsidRPr="00FF7F65" w:rsidRDefault="00E5539D" w:rsidP="00FF7F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F7F65">
        <w:rPr>
          <w:rFonts w:ascii="Times New Roman" w:hAnsi="Times New Roman" w:cs="Times New Roman"/>
        </w:rPr>
        <w:t>3) par la volonté des associés,</w:t>
      </w:r>
    </w:p>
    <w:p w:rsidR="00E5539D" w:rsidRPr="00FF7F65" w:rsidRDefault="00E5539D" w:rsidP="00FF7F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F7F65">
        <w:rPr>
          <w:rFonts w:ascii="Times New Roman" w:hAnsi="Times New Roman" w:cs="Times New Roman"/>
        </w:rPr>
        <w:t>4) par le décès de l'un de ses associés,</w:t>
      </w:r>
    </w:p>
    <w:p w:rsidR="00DB6D01" w:rsidRPr="00FF7F65" w:rsidRDefault="00E5539D" w:rsidP="00FF7F65">
      <w:pPr>
        <w:rPr>
          <w:rFonts w:ascii="Times New Roman" w:hAnsi="Times New Roman" w:cs="Times New Roman"/>
        </w:rPr>
      </w:pPr>
      <w:r w:rsidRPr="00FF7F65">
        <w:rPr>
          <w:rFonts w:ascii="Times New Roman" w:hAnsi="Times New Roman" w:cs="Times New Roman"/>
        </w:rPr>
        <w:t>5) par sa dissolution judiciaire.</w:t>
      </w:r>
    </w:p>
    <w:p w:rsidR="00FF7F65" w:rsidRDefault="00FF7F65" w:rsidP="00FF7F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500A2D" w:rsidRDefault="00500A2D" w:rsidP="00FF7F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500A2D" w:rsidRDefault="00500A2D" w:rsidP="00FF7F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E5539D" w:rsidRDefault="00E5539D" w:rsidP="00FF7F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FF7F65">
        <w:rPr>
          <w:rFonts w:ascii="Times New Roman" w:hAnsi="Times New Roman" w:cs="Times New Roman"/>
          <w:b/>
          <w:bCs/>
        </w:rPr>
        <w:t>Article 22 </w:t>
      </w:r>
      <w:r w:rsidR="00F90677" w:rsidRPr="00FF7F65">
        <w:rPr>
          <w:rFonts w:ascii="Times New Roman" w:hAnsi="Times New Roman" w:cs="Times New Roman"/>
          <w:b/>
          <w:bCs/>
        </w:rPr>
        <w:t>: Prorogation</w:t>
      </w:r>
      <w:r w:rsidRPr="00FF7F65">
        <w:rPr>
          <w:rFonts w:ascii="Times New Roman" w:hAnsi="Times New Roman" w:cs="Times New Roman"/>
          <w:b/>
          <w:bCs/>
        </w:rPr>
        <w:t xml:space="preserve"> de l’activité</w:t>
      </w:r>
    </w:p>
    <w:p w:rsidR="00FF7F65" w:rsidRPr="00FF7F65" w:rsidRDefault="00FF7F65" w:rsidP="00FF7F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94B6D" w:rsidRDefault="00E5539D" w:rsidP="00FF7F6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F7F65">
        <w:rPr>
          <w:rFonts w:ascii="Times New Roman" w:hAnsi="Times New Roman" w:cs="Times New Roman"/>
        </w:rPr>
        <w:t xml:space="preserve">La société est dissoute à l'expiration de sa durée. </w:t>
      </w:r>
    </w:p>
    <w:p w:rsidR="00E5539D" w:rsidRPr="00FF7F65" w:rsidRDefault="00E5539D" w:rsidP="00FF7F6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F7F65">
        <w:rPr>
          <w:rFonts w:ascii="Times New Roman" w:hAnsi="Times New Roman" w:cs="Times New Roman"/>
        </w:rPr>
        <w:t xml:space="preserve">Toutefois la société peut être prorogée </w:t>
      </w:r>
      <w:r w:rsidRPr="003B0CAD">
        <w:rPr>
          <w:rFonts w:ascii="Times New Roman" w:hAnsi="Times New Roman" w:cs="Times New Roman"/>
          <w:b/>
        </w:rPr>
        <w:t>par une décision prise</w:t>
      </w:r>
      <w:r w:rsidR="00FF7F65" w:rsidRPr="003B0CAD">
        <w:rPr>
          <w:rFonts w:ascii="Times New Roman" w:hAnsi="Times New Roman" w:cs="Times New Roman"/>
          <w:b/>
        </w:rPr>
        <w:t xml:space="preserve"> </w:t>
      </w:r>
      <w:r w:rsidR="00E94B6D" w:rsidRPr="003B0CAD">
        <w:rPr>
          <w:rFonts w:ascii="Times New Roman" w:hAnsi="Times New Roman" w:cs="Times New Roman"/>
          <w:b/>
        </w:rPr>
        <w:t>par l'AG</w:t>
      </w:r>
      <w:r w:rsidRPr="00FF7F65">
        <w:rPr>
          <w:rFonts w:ascii="Times New Roman" w:hAnsi="Times New Roman" w:cs="Times New Roman"/>
        </w:rPr>
        <w:t xml:space="preserve"> délibérant selon les conditions prévues par les statuts.</w:t>
      </w:r>
    </w:p>
    <w:p w:rsidR="00E5539D" w:rsidRDefault="00E5539D" w:rsidP="00FF7F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F7F65">
        <w:rPr>
          <w:rFonts w:ascii="Times New Roman" w:hAnsi="Times New Roman" w:cs="Times New Roman"/>
        </w:rPr>
        <w:t xml:space="preserve">Si les associés, à l'expiration de la durée de la société, maintiennent son activité, ils sont censés la </w:t>
      </w:r>
      <w:r w:rsidRPr="003B0CAD">
        <w:rPr>
          <w:rFonts w:ascii="Times New Roman" w:hAnsi="Times New Roman" w:cs="Times New Roman"/>
          <w:u w:val="single"/>
        </w:rPr>
        <w:t>proroger</w:t>
      </w:r>
      <w:r w:rsidR="00FF7F65" w:rsidRPr="003B0CAD">
        <w:rPr>
          <w:rFonts w:ascii="Times New Roman" w:hAnsi="Times New Roman" w:cs="Times New Roman"/>
          <w:u w:val="single"/>
        </w:rPr>
        <w:t xml:space="preserve"> </w:t>
      </w:r>
      <w:r w:rsidRPr="003B0CAD">
        <w:rPr>
          <w:rFonts w:ascii="Times New Roman" w:hAnsi="Times New Roman" w:cs="Times New Roman"/>
          <w:b/>
          <w:u w:val="single"/>
        </w:rPr>
        <w:t>d'une année, renouvelable</w:t>
      </w:r>
      <w:r w:rsidRPr="003B0CAD">
        <w:rPr>
          <w:rFonts w:ascii="Times New Roman" w:hAnsi="Times New Roman" w:cs="Times New Roman"/>
          <w:u w:val="single"/>
        </w:rPr>
        <w:t xml:space="preserve"> à chaque fois </w:t>
      </w:r>
      <w:r w:rsidRPr="003B0CAD">
        <w:rPr>
          <w:rFonts w:ascii="Times New Roman" w:hAnsi="Times New Roman" w:cs="Times New Roman"/>
          <w:b/>
          <w:u w:val="single"/>
        </w:rPr>
        <w:t>pour la même durée</w:t>
      </w:r>
      <w:r w:rsidRPr="00FF7F65">
        <w:rPr>
          <w:rFonts w:ascii="Times New Roman" w:hAnsi="Times New Roman" w:cs="Times New Roman"/>
        </w:rPr>
        <w:t>, et ce, tout en respectant les dispositions de</w:t>
      </w:r>
      <w:r w:rsidR="00FF7F65">
        <w:rPr>
          <w:rFonts w:ascii="Times New Roman" w:hAnsi="Times New Roman" w:cs="Times New Roman"/>
        </w:rPr>
        <w:t xml:space="preserve"> </w:t>
      </w:r>
      <w:r w:rsidRPr="00FF7F65">
        <w:rPr>
          <w:rFonts w:ascii="Times New Roman" w:hAnsi="Times New Roman" w:cs="Times New Roman"/>
        </w:rPr>
        <w:t>l'article 16 du présent code.</w:t>
      </w:r>
    </w:p>
    <w:p w:rsidR="00DF71DA" w:rsidRDefault="00DF71DA" w:rsidP="00FF7F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500A2D" w:rsidRDefault="00500A2D" w:rsidP="00FF7F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500A2D" w:rsidRPr="00FF7F65" w:rsidRDefault="00500A2D" w:rsidP="00FF7F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DF71DA" w:rsidRDefault="00DF71DA" w:rsidP="00FF7F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5539D" w:rsidRDefault="00E5539D" w:rsidP="00FF7F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FF7F65">
        <w:rPr>
          <w:rFonts w:ascii="Times New Roman" w:hAnsi="Times New Roman" w:cs="Times New Roman"/>
          <w:b/>
          <w:bCs/>
        </w:rPr>
        <w:t>Article 23 </w:t>
      </w:r>
      <w:r w:rsidR="00F90677" w:rsidRPr="00FF7F65">
        <w:rPr>
          <w:rFonts w:ascii="Times New Roman" w:hAnsi="Times New Roman" w:cs="Times New Roman"/>
          <w:b/>
          <w:bCs/>
        </w:rPr>
        <w:t>: Réunion</w:t>
      </w:r>
      <w:r w:rsidRPr="00FF7F65">
        <w:rPr>
          <w:rFonts w:ascii="Times New Roman" w:hAnsi="Times New Roman" w:cs="Times New Roman"/>
          <w:b/>
          <w:bCs/>
        </w:rPr>
        <w:t xml:space="preserve"> de toutes les parts dans les mains d’un seul associé</w:t>
      </w:r>
    </w:p>
    <w:p w:rsidR="00B72A77" w:rsidRPr="00FF7F65" w:rsidRDefault="00B72A77" w:rsidP="00FF7F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DF71DA" w:rsidRDefault="00E5539D" w:rsidP="00FF7F6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F7F65">
        <w:rPr>
          <w:rFonts w:ascii="Times New Roman" w:hAnsi="Times New Roman" w:cs="Times New Roman"/>
        </w:rPr>
        <w:t xml:space="preserve">En cas de réunion de toutes les parts sociales d'une société de personnes ou d'une </w:t>
      </w:r>
      <w:r w:rsidR="00DF71DA">
        <w:rPr>
          <w:rFonts w:ascii="Times New Roman" w:hAnsi="Times New Roman" w:cs="Times New Roman"/>
        </w:rPr>
        <w:t>SARL</w:t>
      </w:r>
      <w:r w:rsidRPr="00FF7F65">
        <w:rPr>
          <w:rFonts w:ascii="Times New Roman" w:hAnsi="Times New Roman" w:cs="Times New Roman"/>
        </w:rPr>
        <w:t xml:space="preserve"> entre les mains d'un seul associé, la société se transforme en </w:t>
      </w:r>
      <w:r w:rsidR="00DF71DA">
        <w:rPr>
          <w:rFonts w:ascii="Times New Roman" w:hAnsi="Times New Roman" w:cs="Times New Roman"/>
        </w:rPr>
        <w:t>SUARL</w:t>
      </w:r>
      <w:r w:rsidRPr="00FF7F65">
        <w:rPr>
          <w:rFonts w:ascii="Times New Roman" w:hAnsi="Times New Roman" w:cs="Times New Roman"/>
        </w:rPr>
        <w:t xml:space="preserve">. </w:t>
      </w:r>
    </w:p>
    <w:p w:rsidR="00E5539D" w:rsidRPr="00FF7F65" w:rsidRDefault="00DF71DA" w:rsidP="00FF7F6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F71DA">
        <w:rPr>
          <w:rFonts w:ascii="Times New Roman" w:hAnsi="Times New Roman" w:cs="Times New Roman"/>
          <w:u w:val="single"/>
        </w:rPr>
        <w:t xml:space="preserve">A défaut </w:t>
      </w:r>
      <w:r w:rsidR="00E5539D" w:rsidRPr="00DF71DA">
        <w:rPr>
          <w:rFonts w:ascii="Times New Roman" w:hAnsi="Times New Roman" w:cs="Times New Roman"/>
          <w:u w:val="single"/>
        </w:rPr>
        <w:t xml:space="preserve">de régularisation dans un </w:t>
      </w:r>
      <w:r w:rsidR="00E5539D" w:rsidRPr="00DF71DA">
        <w:rPr>
          <w:rFonts w:ascii="Times New Roman" w:hAnsi="Times New Roman" w:cs="Times New Roman"/>
          <w:b/>
          <w:u w:val="single"/>
        </w:rPr>
        <w:t>délai d'un an</w:t>
      </w:r>
      <w:r w:rsidR="00E5539D" w:rsidRPr="00FF7F65">
        <w:rPr>
          <w:rFonts w:ascii="Times New Roman" w:hAnsi="Times New Roman" w:cs="Times New Roman"/>
        </w:rPr>
        <w:t xml:space="preserve"> à partir de la date de la réunion de toutes les parts en</w:t>
      </w:r>
      <w:r w:rsidR="00FF7F65">
        <w:rPr>
          <w:rFonts w:ascii="Times New Roman" w:hAnsi="Times New Roman" w:cs="Times New Roman"/>
        </w:rPr>
        <w:t xml:space="preserve"> </w:t>
      </w:r>
      <w:r w:rsidR="00E5539D" w:rsidRPr="00FF7F65">
        <w:rPr>
          <w:rFonts w:ascii="Times New Roman" w:hAnsi="Times New Roman" w:cs="Times New Roman"/>
        </w:rPr>
        <w:t>une seule main, tout intéressé pourra demander en justice la dissolution de la société.</w:t>
      </w:r>
    </w:p>
    <w:p w:rsidR="00E5539D" w:rsidRPr="00FF7F65" w:rsidRDefault="00E5539D" w:rsidP="00FF7F6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F7F65">
        <w:rPr>
          <w:rFonts w:ascii="Times New Roman" w:hAnsi="Times New Roman" w:cs="Times New Roman"/>
        </w:rPr>
        <w:t xml:space="preserve">Le tribunal compétent pourra fixer un </w:t>
      </w:r>
      <w:r w:rsidRPr="00DF71DA">
        <w:rPr>
          <w:rFonts w:ascii="Times New Roman" w:hAnsi="Times New Roman" w:cs="Times New Roman"/>
          <w:b/>
          <w:u w:val="single"/>
        </w:rPr>
        <w:t>délai supplémentaire</w:t>
      </w:r>
      <w:r w:rsidRPr="00FF7F65">
        <w:rPr>
          <w:rFonts w:ascii="Times New Roman" w:hAnsi="Times New Roman" w:cs="Times New Roman"/>
        </w:rPr>
        <w:t xml:space="preserve"> qui ne saurait excéder les six mois</w:t>
      </w:r>
      <w:r w:rsidR="00DF71DA">
        <w:rPr>
          <w:rFonts w:ascii="Times New Roman" w:hAnsi="Times New Roman" w:cs="Times New Roman"/>
        </w:rPr>
        <w:t xml:space="preserve">         </w:t>
      </w:r>
      <w:r w:rsidR="00DF71DA" w:rsidRPr="00DF71DA">
        <w:rPr>
          <w:rFonts w:ascii="Times New Roman" w:hAnsi="Times New Roman" w:cs="Times New Roman"/>
          <w:b/>
        </w:rPr>
        <w:t>(&lt; 6mois)</w:t>
      </w:r>
      <w:r w:rsidRPr="00FF7F65">
        <w:rPr>
          <w:rFonts w:ascii="Times New Roman" w:hAnsi="Times New Roman" w:cs="Times New Roman"/>
        </w:rPr>
        <w:t xml:space="preserve"> pour que la</w:t>
      </w:r>
      <w:r w:rsidR="00FF7F65">
        <w:rPr>
          <w:rFonts w:ascii="Times New Roman" w:hAnsi="Times New Roman" w:cs="Times New Roman"/>
        </w:rPr>
        <w:t xml:space="preserve"> </w:t>
      </w:r>
      <w:r w:rsidRPr="00FF7F65">
        <w:rPr>
          <w:rFonts w:ascii="Times New Roman" w:hAnsi="Times New Roman" w:cs="Times New Roman"/>
        </w:rPr>
        <w:t>régularisation soit réalisée.</w:t>
      </w:r>
    </w:p>
    <w:p w:rsidR="00E5539D" w:rsidRPr="00FF7F65" w:rsidRDefault="00E5539D" w:rsidP="00FF7F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F7F65">
        <w:rPr>
          <w:rFonts w:ascii="Times New Roman" w:hAnsi="Times New Roman" w:cs="Times New Roman"/>
        </w:rPr>
        <w:t>En toute hypothèse, la dissolution ne sera pas prononcée si la régularisation est intervenue avant que le</w:t>
      </w:r>
      <w:r w:rsidR="00FF7F65">
        <w:rPr>
          <w:rFonts w:ascii="Times New Roman" w:hAnsi="Times New Roman" w:cs="Times New Roman"/>
        </w:rPr>
        <w:t xml:space="preserve"> </w:t>
      </w:r>
      <w:r w:rsidRPr="00FF7F65">
        <w:rPr>
          <w:rFonts w:ascii="Times New Roman" w:hAnsi="Times New Roman" w:cs="Times New Roman"/>
        </w:rPr>
        <w:t>tribunal ne statue sur le fond en premier ressort.</w:t>
      </w:r>
    </w:p>
    <w:p w:rsidR="00FF7F65" w:rsidRDefault="00FF7F65" w:rsidP="00FF7F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B001DB" w:rsidRDefault="00B001DB" w:rsidP="00FF7F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B001DB" w:rsidRDefault="00B001DB" w:rsidP="00FF7F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B001DB" w:rsidRDefault="00B001DB" w:rsidP="00FF7F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B001DB" w:rsidRDefault="00B001DB" w:rsidP="00FF7F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B001DB" w:rsidRDefault="00B001DB" w:rsidP="00FF7F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B001DB" w:rsidRDefault="00B001DB" w:rsidP="00FF7F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DF71DA" w:rsidRDefault="00DF71DA" w:rsidP="00FF7F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500A2D" w:rsidRDefault="00500A2D" w:rsidP="00FF7F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5539D" w:rsidRDefault="00E5539D" w:rsidP="00FF7F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FF7F65">
        <w:rPr>
          <w:rFonts w:ascii="Times New Roman" w:hAnsi="Times New Roman" w:cs="Times New Roman"/>
          <w:b/>
          <w:bCs/>
        </w:rPr>
        <w:t>Article 24</w:t>
      </w:r>
      <w:r w:rsidR="00C4648A" w:rsidRPr="00FF7F65">
        <w:rPr>
          <w:rFonts w:ascii="Times New Roman" w:hAnsi="Times New Roman" w:cs="Times New Roman"/>
          <w:b/>
          <w:bCs/>
        </w:rPr>
        <w:t> </w:t>
      </w:r>
      <w:r w:rsidR="00F90677" w:rsidRPr="00FF7F65">
        <w:rPr>
          <w:rFonts w:ascii="Times New Roman" w:hAnsi="Times New Roman" w:cs="Times New Roman"/>
          <w:b/>
          <w:bCs/>
        </w:rPr>
        <w:t>: Dissolution</w:t>
      </w:r>
      <w:r w:rsidR="00C4648A" w:rsidRPr="00FF7F65">
        <w:rPr>
          <w:rFonts w:ascii="Times New Roman" w:hAnsi="Times New Roman" w:cs="Times New Roman"/>
          <w:b/>
          <w:bCs/>
        </w:rPr>
        <w:t xml:space="preserve"> en cas de défaut d’apport en nature promis par l’associé</w:t>
      </w:r>
    </w:p>
    <w:p w:rsidR="00DF71DA" w:rsidRPr="00FF7F65" w:rsidRDefault="00DF71DA" w:rsidP="00FF7F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5539D" w:rsidRPr="00FF7F65" w:rsidRDefault="00E5539D" w:rsidP="00FF7F6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F7F65">
        <w:rPr>
          <w:rFonts w:ascii="Times New Roman" w:hAnsi="Times New Roman" w:cs="Times New Roman"/>
        </w:rPr>
        <w:t>Lorsqu'un associé a promis de faire un apport en nature à une société en constitution, la perte de l'objet de cet</w:t>
      </w:r>
      <w:r w:rsidR="00FF7F65">
        <w:rPr>
          <w:rFonts w:ascii="Times New Roman" w:hAnsi="Times New Roman" w:cs="Times New Roman"/>
        </w:rPr>
        <w:t xml:space="preserve"> </w:t>
      </w:r>
      <w:r w:rsidRPr="00FF7F65">
        <w:rPr>
          <w:rFonts w:ascii="Times New Roman" w:hAnsi="Times New Roman" w:cs="Times New Roman"/>
        </w:rPr>
        <w:t xml:space="preserve">apport survenue avant la délivrance </w:t>
      </w:r>
      <w:r w:rsidR="00DF71DA" w:rsidRPr="00DF71DA">
        <w:rPr>
          <w:rFonts w:ascii="Times New Roman" w:hAnsi="Times New Roman" w:cs="Times New Roman"/>
        </w:rPr>
        <w:sym w:font="Wingdings" w:char="F0E8"/>
      </w:r>
      <w:r w:rsidR="00DF71DA">
        <w:rPr>
          <w:rFonts w:ascii="Times New Roman" w:hAnsi="Times New Roman" w:cs="Times New Roman"/>
        </w:rPr>
        <w:t xml:space="preserve"> </w:t>
      </w:r>
      <w:r w:rsidR="00B001DB">
        <w:rPr>
          <w:rFonts w:ascii="Times New Roman" w:hAnsi="Times New Roman" w:cs="Times New Roman"/>
        </w:rPr>
        <w:t>Dissolution.</w:t>
      </w:r>
    </w:p>
    <w:p w:rsidR="00E5539D" w:rsidRPr="00FF7F65" w:rsidRDefault="00E5539D" w:rsidP="00FF7F6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F7F65">
        <w:rPr>
          <w:rFonts w:ascii="Times New Roman" w:hAnsi="Times New Roman" w:cs="Times New Roman"/>
        </w:rPr>
        <w:t xml:space="preserve">Si le bien apporté en jouissance vient à périr avant sa délivrance </w:t>
      </w:r>
      <w:r w:rsidR="00DF71DA">
        <w:rPr>
          <w:rFonts w:ascii="Times New Roman" w:hAnsi="Times New Roman" w:cs="Times New Roman"/>
        </w:rPr>
        <w:t xml:space="preserve">   </w:t>
      </w:r>
      <w:r w:rsidR="00DF71DA" w:rsidRPr="00DF71DA">
        <w:rPr>
          <w:rFonts w:ascii="Times New Roman" w:hAnsi="Times New Roman" w:cs="Times New Roman"/>
        </w:rPr>
        <w:sym w:font="Wingdings" w:char="F0E8"/>
      </w:r>
      <w:r w:rsidR="00DF71DA">
        <w:rPr>
          <w:rFonts w:ascii="Times New Roman" w:hAnsi="Times New Roman" w:cs="Times New Roman"/>
        </w:rPr>
        <w:t xml:space="preserve"> Dissolution</w:t>
      </w:r>
      <w:r w:rsidRPr="00FF7F65">
        <w:rPr>
          <w:rFonts w:ascii="Times New Roman" w:hAnsi="Times New Roman" w:cs="Times New Roman"/>
        </w:rPr>
        <w:t>.</w:t>
      </w:r>
    </w:p>
    <w:p w:rsidR="00E5539D" w:rsidRDefault="00E5539D" w:rsidP="00FF7F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F7F65">
        <w:rPr>
          <w:rFonts w:ascii="Times New Roman" w:hAnsi="Times New Roman" w:cs="Times New Roman"/>
        </w:rPr>
        <w:t xml:space="preserve">Toutefois, dans les deux cas, le représentant de la société est tenu de convoquer </w:t>
      </w:r>
      <w:r w:rsidR="00DF71DA">
        <w:rPr>
          <w:rFonts w:ascii="Times New Roman" w:hAnsi="Times New Roman" w:cs="Times New Roman"/>
        </w:rPr>
        <w:t>l’AGC</w:t>
      </w:r>
      <w:r w:rsidRPr="00FF7F65">
        <w:rPr>
          <w:rFonts w:ascii="Times New Roman" w:hAnsi="Times New Roman" w:cs="Times New Roman"/>
        </w:rPr>
        <w:t xml:space="preserve"> conformément aux conditions prévues par les statuts afin de délibérer sur la continuation ou la</w:t>
      </w:r>
      <w:r w:rsidR="00FF7F65">
        <w:rPr>
          <w:rFonts w:ascii="Times New Roman" w:hAnsi="Times New Roman" w:cs="Times New Roman"/>
        </w:rPr>
        <w:t xml:space="preserve"> </w:t>
      </w:r>
      <w:r w:rsidRPr="00FF7F65">
        <w:rPr>
          <w:rFonts w:ascii="Times New Roman" w:hAnsi="Times New Roman" w:cs="Times New Roman"/>
        </w:rPr>
        <w:t>dissolution de la société.</w:t>
      </w:r>
    </w:p>
    <w:p w:rsidR="00FF7F65" w:rsidRDefault="00FF7F65" w:rsidP="00FF7F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001DB" w:rsidRPr="00FF7F65" w:rsidRDefault="00B001DB" w:rsidP="00FF7F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001DB" w:rsidRDefault="00B001DB" w:rsidP="00FF7F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5539D" w:rsidRDefault="00E5539D" w:rsidP="00FF7F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FF7F65">
        <w:rPr>
          <w:rFonts w:ascii="Times New Roman" w:hAnsi="Times New Roman" w:cs="Times New Roman"/>
          <w:b/>
          <w:bCs/>
        </w:rPr>
        <w:t>Article 25</w:t>
      </w:r>
      <w:r w:rsidR="004571CD" w:rsidRPr="00FF7F65">
        <w:rPr>
          <w:rFonts w:ascii="Times New Roman" w:hAnsi="Times New Roman" w:cs="Times New Roman"/>
          <w:b/>
          <w:bCs/>
        </w:rPr>
        <w:t> : Dissolution de plein droit par l’extinction de l’objet social</w:t>
      </w:r>
    </w:p>
    <w:p w:rsidR="00B001DB" w:rsidRPr="00FF7F65" w:rsidRDefault="00B001DB" w:rsidP="00FF7F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5539D" w:rsidRPr="00FF7F65" w:rsidRDefault="00E5539D" w:rsidP="00FF7F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F7F65">
        <w:rPr>
          <w:rFonts w:ascii="Times New Roman" w:hAnsi="Times New Roman" w:cs="Times New Roman"/>
        </w:rPr>
        <w:t>La société est dissoute de plein droit par l'extinction de l'objet social.</w:t>
      </w:r>
    </w:p>
    <w:p w:rsidR="00FF7F65" w:rsidRDefault="00FF7F65" w:rsidP="00FF7F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B001DB" w:rsidRDefault="00B001DB" w:rsidP="00FF7F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B001DB" w:rsidRDefault="00B001DB" w:rsidP="00FF7F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E5539D" w:rsidRPr="00FF7F65" w:rsidRDefault="00E5539D" w:rsidP="00FF7F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FF7F65">
        <w:rPr>
          <w:rFonts w:ascii="Times New Roman" w:hAnsi="Times New Roman" w:cs="Times New Roman"/>
          <w:b/>
          <w:bCs/>
        </w:rPr>
        <w:t>Article 26</w:t>
      </w:r>
      <w:r w:rsidR="000C4317" w:rsidRPr="00FF7F65">
        <w:rPr>
          <w:rFonts w:ascii="Times New Roman" w:hAnsi="Times New Roman" w:cs="Times New Roman"/>
          <w:b/>
          <w:bCs/>
        </w:rPr>
        <w:t> </w:t>
      </w:r>
      <w:r w:rsidR="00AB283F" w:rsidRPr="00FF7F65">
        <w:rPr>
          <w:rFonts w:ascii="Times New Roman" w:hAnsi="Times New Roman" w:cs="Times New Roman"/>
          <w:b/>
          <w:bCs/>
        </w:rPr>
        <w:t>: Dissolution</w:t>
      </w:r>
      <w:r w:rsidR="000C4317" w:rsidRPr="00FF7F65">
        <w:rPr>
          <w:rFonts w:ascii="Times New Roman" w:hAnsi="Times New Roman" w:cs="Times New Roman"/>
          <w:b/>
          <w:bCs/>
        </w:rPr>
        <w:t xml:space="preserve"> volontaire </w:t>
      </w:r>
      <w:r w:rsidR="00AB283F" w:rsidRPr="00FF7F65">
        <w:rPr>
          <w:rFonts w:ascii="Times New Roman" w:hAnsi="Times New Roman" w:cs="Times New Roman"/>
          <w:b/>
          <w:bCs/>
        </w:rPr>
        <w:t>et judiciaire</w:t>
      </w:r>
    </w:p>
    <w:p w:rsidR="00B001DB" w:rsidRDefault="00B001DB" w:rsidP="00FF7F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001DB" w:rsidRDefault="00E5539D" w:rsidP="00FF7F6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F7F65">
        <w:rPr>
          <w:rFonts w:ascii="Times New Roman" w:hAnsi="Times New Roman" w:cs="Times New Roman"/>
        </w:rPr>
        <w:t xml:space="preserve">La société peut être dissoute par une décision prise par les associés aux conditions prévues par les statuts. </w:t>
      </w:r>
    </w:p>
    <w:p w:rsidR="00E5539D" w:rsidRPr="00FF7F65" w:rsidRDefault="00E5539D" w:rsidP="00FF7F6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F7F65">
        <w:rPr>
          <w:rFonts w:ascii="Times New Roman" w:hAnsi="Times New Roman" w:cs="Times New Roman"/>
        </w:rPr>
        <w:t>Ell</w:t>
      </w:r>
      <w:r w:rsidR="00FF7F65">
        <w:rPr>
          <w:rFonts w:ascii="Times New Roman" w:hAnsi="Times New Roman" w:cs="Times New Roman"/>
        </w:rPr>
        <w:t xml:space="preserve">e </w:t>
      </w:r>
      <w:r w:rsidRPr="00FF7F65">
        <w:rPr>
          <w:rFonts w:ascii="Times New Roman" w:hAnsi="Times New Roman" w:cs="Times New Roman"/>
        </w:rPr>
        <w:t>est dissoute judiciairement par un jugement.</w:t>
      </w:r>
    </w:p>
    <w:p w:rsidR="00E5539D" w:rsidRPr="00FF7F65" w:rsidRDefault="00E5539D" w:rsidP="00FF7F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F7F65">
        <w:rPr>
          <w:rFonts w:ascii="Times New Roman" w:hAnsi="Times New Roman" w:cs="Times New Roman"/>
        </w:rPr>
        <w:t>Dans tous les cas, tout associé peut conformément aux dispositions spécifiques à chaque société, saisir la</w:t>
      </w:r>
      <w:r w:rsidR="00FF7F65">
        <w:rPr>
          <w:rFonts w:ascii="Times New Roman" w:hAnsi="Times New Roman" w:cs="Times New Roman"/>
        </w:rPr>
        <w:t xml:space="preserve"> </w:t>
      </w:r>
      <w:r w:rsidRPr="00FF7F65">
        <w:rPr>
          <w:rFonts w:ascii="Times New Roman" w:hAnsi="Times New Roman" w:cs="Times New Roman"/>
        </w:rPr>
        <w:t>juridiction compétente en vue de faire prononcer la dissolution de la société pour justes motifs.</w:t>
      </w:r>
    </w:p>
    <w:p w:rsidR="00FF7F65" w:rsidRDefault="00FF7F65" w:rsidP="00FF7F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B001DB" w:rsidRDefault="00B001DB" w:rsidP="00FF7F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B001DB" w:rsidRDefault="00B001DB" w:rsidP="00FF7F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5539D" w:rsidRDefault="00E5539D" w:rsidP="00FF7F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FF7F65">
        <w:rPr>
          <w:rFonts w:ascii="Times New Roman" w:hAnsi="Times New Roman" w:cs="Times New Roman"/>
          <w:b/>
          <w:bCs/>
        </w:rPr>
        <w:t>Article 27</w:t>
      </w:r>
      <w:r w:rsidR="000C4317" w:rsidRPr="00FF7F65">
        <w:rPr>
          <w:rFonts w:ascii="Times New Roman" w:hAnsi="Times New Roman" w:cs="Times New Roman"/>
          <w:b/>
          <w:bCs/>
        </w:rPr>
        <w:t> </w:t>
      </w:r>
      <w:r w:rsidR="00AB283F" w:rsidRPr="00FF7F65">
        <w:rPr>
          <w:rFonts w:ascii="Times New Roman" w:hAnsi="Times New Roman" w:cs="Times New Roman"/>
          <w:b/>
          <w:bCs/>
        </w:rPr>
        <w:t>: Dissolution</w:t>
      </w:r>
      <w:r w:rsidR="000C4317" w:rsidRPr="00FF7F65">
        <w:rPr>
          <w:rFonts w:ascii="Times New Roman" w:hAnsi="Times New Roman" w:cs="Times New Roman"/>
          <w:b/>
          <w:bCs/>
        </w:rPr>
        <w:t xml:space="preserve"> lorsque les fonds propres &lt;</w:t>
      </w:r>
      <w:r w:rsidR="00AB283F" w:rsidRPr="00FF7F65">
        <w:rPr>
          <w:rFonts w:ascii="Times New Roman" w:hAnsi="Times New Roman" w:cs="Times New Roman"/>
          <w:b/>
          <w:bCs/>
        </w:rPr>
        <w:t xml:space="preserve"> </w:t>
      </w:r>
      <w:r w:rsidR="000C4317" w:rsidRPr="00FF7F65">
        <w:rPr>
          <w:rFonts w:ascii="Times New Roman" w:hAnsi="Times New Roman" w:cs="Times New Roman"/>
          <w:b/>
          <w:bCs/>
        </w:rPr>
        <w:t>1/2 du capital social</w:t>
      </w:r>
    </w:p>
    <w:p w:rsidR="00B001DB" w:rsidRPr="00FF7F65" w:rsidRDefault="00B001DB" w:rsidP="00FF7F6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B001DB" w:rsidRDefault="00E5539D" w:rsidP="00FF7F6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F7F65">
        <w:rPr>
          <w:rFonts w:ascii="Times New Roman" w:hAnsi="Times New Roman" w:cs="Times New Roman"/>
        </w:rPr>
        <w:t xml:space="preserve">La société peut être dissoute lorsque ses fonds propres </w:t>
      </w:r>
      <w:r w:rsidR="00B001DB">
        <w:rPr>
          <w:rFonts w:ascii="Times New Roman" w:hAnsi="Times New Roman" w:cs="Times New Roman"/>
        </w:rPr>
        <w:t>&lt; 1/2</w:t>
      </w:r>
      <w:r w:rsidRPr="00FF7F65">
        <w:rPr>
          <w:rFonts w:ascii="Times New Roman" w:hAnsi="Times New Roman" w:cs="Times New Roman"/>
        </w:rPr>
        <w:t xml:space="preserve"> de son capital</w:t>
      </w:r>
      <w:r w:rsidR="00FF7F65">
        <w:rPr>
          <w:rFonts w:ascii="Times New Roman" w:hAnsi="Times New Roman" w:cs="Times New Roman"/>
        </w:rPr>
        <w:t xml:space="preserve"> </w:t>
      </w:r>
      <w:r w:rsidRPr="00FF7F65">
        <w:rPr>
          <w:rFonts w:ascii="Times New Roman" w:hAnsi="Times New Roman" w:cs="Times New Roman"/>
        </w:rPr>
        <w:t xml:space="preserve">social suite aux pertes constatées dans ses documents comptables. </w:t>
      </w:r>
    </w:p>
    <w:p w:rsidR="00500A2D" w:rsidRPr="00FF7F65" w:rsidRDefault="00E5539D" w:rsidP="00FF7F6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F7F65">
        <w:rPr>
          <w:rFonts w:ascii="Times New Roman" w:hAnsi="Times New Roman" w:cs="Times New Roman"/>
        </w:rPr>
        <w:t>Dans ce cas le représentant légal de la</w:t>
      </w:r>
      <w:r w:rsidR="00FF7F65">
        <w:rPr>
          <w:rFonts w:ascii="Times New Roman" w:hAnsi="Times New Roman" w:cs="Times New Roman"/>
        </w:rPr>
        <w:t xml:space="preserve"> </w:t>
      </w:r>
      <w:r w:rsidRPr="00FF7F65">
        <w:rPr>
          <w:rFonts w:ascii="Times New Roman" w:hAnsi="Times New Roman" w:cs="Times New Roman"/>
        </w:rPr>
        <w:t xml:space="preserve">société est tenu de convoquer </w:t>
      </w:r>
      <w:r w:rsidR="00500A2D">
        <w:rPr>
          <w:rFonts w:ascii="Times New Roman" w:hAnsi="Times New Roman" w:cs="Times New Roman"/>
        </w:rPr>
        <w:t>l’AG</w:t>
      </w:r>
      <w:r w:rsidRPr="00FF7F65">
        <w:rPr>
          <w:rFonts w:ascii="Times New Roman" w:hAnsi="Times New Roman" w:cs="Times New Roman"/>
        </w:rPr>
        <w:t xml:space="preserve"> délibérant aux conditions prévues par les statuts pour</w:t>
      </w:r>
      <w:r w:rsidR="00FF7F65">
        <w:rPr>
          <w:rFonts w:ascii="Times New Roman" w:hAnsi="Times New Roman" w:cs="Times New Roman"/>
        </w:rPr>
        <w:t xml:space="preserve"> </w:t>
      </w:r>
      <w:r w:rsidRPr="00FF7F65">
        <w:rPr>
          <w:rFonts w:ascii="Times New Roman" w:hAnsi="Times New Roman" w:cs="Times New Roman"/>
        </w:rPr>
        <w:t>décider de la dissolution de la société ou de sa continuation avec régularisation de sa situation.</w:t>
      </w:r>
    </w:p>
    <w:p w:rsidR="00E5539D" w:rsidRPr="00FF7F65" w:rsidRDefault="00E5539D" w:rsidP="00FF7F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F7F65">
        <w:rPr>
          <w:rFonts w:ascii="Times New Roman" w:hAnsi="Times New Roman" w:cs="Times New Roman"/>
        </w:rPr>
        <w:t>Et ce, sous réserve du respect des dispositions de la loi relative au redressement des entreprises en difficultés</w:t>
      </w:r>
      <w:r w:rsidR="00FF7F65">
        <w:rPr>
          <w:rFonts w:ascii="Times New Roman" w:hAnsi="Times New Roman" w:cs="Times New Roman"/>
        </w:rPr>
        <w:t xml:space="preserve"> </w:t>
      </w:r>
      <w:r w:rsidRPr="00FF7F65">
        <w:rPr>
          <w:rFonts w:ascii="Times New Roman" w:hAnsi="Times New Roman" w:cs="Times New Roman"/>
        </w:rPr>
        <w:t>économiques.</w:t>
      </w:r>
    </w:p>
    <w:sectPr w:rsidR="00E5539D" w:rsidRPr="00FF7F65" w:rsidSect="0045171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1E3" w:rsidRDefault="00C071E3" w:rsidP="007E4FB1">
      <w:pPr>
        <w:spacing w:after="0" w:line="240" w:lineRule="auto"/>
      </w:pPr>
      <w:r>
        <w:separator/>
      </w:r>
    </w:p>
  </w:endnote>
  <w:endnote w:type="continuationSeparator" w:id="0">
    <w:p w:rsidR="00C071E3" w:rsidRDefault="00C071E3" w:rsidP="007E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9045"/>
      <w:gridCol w:w="257"/>
    </w:tblGrid>
    <w:tr w:rsidR="007E4FB1" w:rsidTr="007E4FB1">
      <w:tc>
        <w:tcPr>
          <w:tcW w:w="4862" w:type="pct"/>
        </w:tcPr>
        <w:p w:rsidR="007E4FB1" w:rsidRPr="006A53B6" w:rsidRDefault="00A2623B">
          <w:pPr>
            <w:pStyle w:val="Pieddepage"/>
            <w:jc w:val="right"/>
            <w:rPr>
              <w:color w:val="262626" w:themeColor="text1" w:themeTint="D9"/>
            </w:rPr>
          </w:pPr>
          <w:r w:rsidRPr="006A53B6">
            <w:rPr>
              <w:color w:val="262626" w:themeColor="text1" w:themeTint="D9"/>
            </w:rPr>
            <w:fldChar w:fldCharType="begin"/>
          </w:r>
          <w:r w:rsidR="006E0275" w:rsidRPr="006A53B6">
            <w:rPr>
              <w:color w:val="262626" w:themeColor="text1" w:themeTint="D9"/>
            </w:rPr>
            <w:instrText xml:space="preserve"> PAGE   \* MERGEFORMAT </w:instrText>
          </w:r>
          <w:r w:rsidRPr="006A53B6">
            <w:rPr>
              <w:color w:val="262626" w:themeColor="text1" w:themeTint="D9"/>
            </w:rPr>
            <w:fldChar w:fldCharType="separate"/>
          </w:r>
          <w:r w:rsidR="00500A2D">
            <w:rPr>
              <w:noProof/>
              <w:color w:val="262626" w:themeColor="text1" w:themeTint="D9"/>
            </w:rPr>
            <w:t>1</w:t>
          </w:r>
          <w:r w:rsidRPr="006A53B6">
            <w:rPr>
              <w:color w:val="262626" w:themeColor="text1" w:themeTint="D9"/>
            </w:rPr>
            <w:fldChar w:fldCharType="end"/>
          </w:r>
        </w:p>
      </w:tc>
      <w:tc>
        <w:tcPr>
          <w:tcW w:w="138" w:type="pct"/>
        </w:tcPr>
        <w:p w:rsidR="007E4FB1" w:rsidRDefault="007E4FB1">
          <w:pPr>
            <w:pStyle w:val="Pieddepage"/>
            <w:rPr>
              <w:color w:val="4F81BD" w:themeColor="accent1"/>
            </w:rPr>
          </w:pPr>
        </w:p>
      </w:tc>
    </w:tr>
  </w:tbl>
  <w:p w:rsidR="007E4FB1" w:rsidRDefault="007E4F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1E3" w:rsidRDefault="00C071E3" w:rsidP="007E4FB1">
      <w:pPr>
        <w:spacing w:after="0" w:line="240" w:lineRule="auto"/>
      </w:pPr>
      <w:r>
        <w:separator/>
      </w:r>
    </w:p>
  </w:footnote>
  <w:footnote w:type="continuationSeparator" w:id="0">
    <w:p w:rsidR="00C071E3" w:rsidRDefault="00C071E3" w:rsidP="007E4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109"/>
      <w:gridCol w:w="8193"/>
    </w:tblGrid>
    <w:tr w:rsidR="007E4FB1" w:rsidTr="007E4FB1">
      <w:tc>
        <w:tcPr>
          <w:tcW w:w="596" w:type="pct"/>
          <w:tcBorders>
            <w:right w:val="single" w:sz="18" w:space="0" w:color="4F81BD" w:themeColor="accent1"/>
          </w:tcBorders>
        </w:tcPr>
        <w:p w:rsidR="007E4FB1" w:rsidRDefault="007E4FB1">
          <w:pPr>
            <w:pStyle w:val="En-tte"/>
          </w:pPr>
        </w:p>
      </w:tc>
      <w:sdt>
        <w:sdtPr>
          <w:rPr>
            <w:rFonts w:asciiTheme="majorHAnsi" w:eastAsia="Times New Roman" w:hAnsiTheme="majorHAnsi" w:cs="Times New Roman"/>
            <w:sz w:val="24"/>
            <w:szCs w:val="24"/>
            <w:lang w:eastAsia="fr-FR"/>
          </w:rPr>
          <w:alias w:val="Titre"/>
          <w:id w:val="77580493"/>
          <w:placeholder>
            <w:docPart w:val="1469E7DD84F146C192D6808B9EA3FB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404" w:type="pct"/>
              <w:tcBorders>
                <w:left w:val="single" w:sz="18" w:space="0" w:color="4F81BD" w:themeColor="accent1"/>
              </w:tcBorders>
            </w:tcPr>
            <w:p w:rsidR="007E4FB1" w:rsidRDefault="00740CD5">
              <w:pPr>
                <w:pStyle w:val="En-tte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>Code des sociétés commerciales</w:t>
              </w:r>
              <w:r w:rsidR="007E4FB1" w:rsidRPr="007E4FB1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                                                                                               </w:t>
              </w:r>
              <w:r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                   </w:t>
              </w:r>
              <w:r w:rsidR="007E4FB1" w:rsidRPr="007E4FB1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</w:t>
              </w:r>
              <w:r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>Livre premier– Dispositions communes</w:t>
              </w:r>
              <w:r w:rsidR="007E4FB1" w:rsidRPr="007E4FB1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                                              </w:t>
              </w:r>
              <w:r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 </w:t>
              </w:r>
              <w:r w:rsidR="000B6C6D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              Titre trois</w:t>
              </w:r>
              <w:r w:rsidR="00BF420F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– La dissolution des sociétés                                                                      Sous titre premier – Les causes de dissolution</w:t>
              </w:r>
            </w:p>
          </w:tc>
        </w:sdtContent>
      </w:sdt>
    </w:tr>
  </w:tbl>
  <w:p w:rsidR="007E4FB1" w:rsidRDefault="007E4FB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FB1"/>
    <w:rsid w:val="000B6C6D"/>
    <w:rsid w:val="000C4317"/>
    <w:rsid w:val="00240A34"/>
    <w:rsid w:val="003B0CAD"/>
    <w:rsid w:val="00401C17"/>
    <w:rsid w:val="0045171B"/>
    <w:rsid w:val="004571CD"/>
    <w:rsid w:val="00500A2D"/>
    <w:rsid w:val="00616E68"/>
    <w:rsid w:val="006A53B6"/>
    <w:rsid w:val="006E0275"/>
    <w:rsid w:val="00737533"/>
    <w:rsid w:val="00740CD5"/>
    <w:rsid w:val="0077753C"/>
    <w:rsid w:val="007E4FB1"/>
    <w:rsid w:val="009479B2"/>
    <w:rsid w:val="00A2623B"/>
    <w:rsid w:val="00AA7533"/>
    <w:rsid w:val="00AB283F"/>
    <w:rsid w:val="00B001DB"/>
    <w:rsid w:val="00B72A77"/>
    <w:rsid w:val="00BF420F"/>
    <w:rsid w:val="00C071E3"/>
    <w:rsid w:val="00C4648A"/>
    <w:rsid w:val="00D736F1"/>
    <w:rsid w:val="00DF71DA"/>
    <w:rsid w:val="00E5539D"/>
    <w:rsid w:val="00E94B6D"/>
    <w:rsid w:val="00F90677"/>
    <w:rsid w:val="00F94790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3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4FB1"/>
  </w:style>
  <w:style w:type="paragraph" w:styleId="Pieddepage">
    <w:name w:val="footer"/>
    <w:basedOn w:val="Normal"/>
    <w:link w:val="PieddepageCar"/>
    <w:uiPriority w:val="99"/>
    <w:unhideWhenUsed/>
    <w:rsid w:val="007E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4FB1"/>
  </w:style>
  <w:style w:type="paragraph" w:styleId="Textedebulles">
    <w:name w:val="Balloon Text"/>
    <w:basedOn w:val="Normal"/>
    <w:link w:val="TextedebullesCar"/>
    <w:uiPriority w:val="99"/>
    <w:semiHidden/>
    <w:unhideWhenUsed/>
    <w:rsid w:val="007E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69E7DD84F146C192D6808B9EA3FB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1FE8D8-591E-44A6-BFE4-B8D547BF13C8}"/>
      </w:docPartPr>
      <w:docPartBody>
        <w:p w:rsidR="00B91C05" w:rsidRDefault="00322ACA" w:rsidP="00322ACA">
          <w:pPr>
            <w:pStyle w:val="1469E7DD84F146C192D6808B9EA3FB1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22ACA"/>
    <w:rsid w:val="00322ACA"/>
    <w:rsid w:val="0038541B"/>
    <w:rsid w:val="003C11A8"/>
    <w:rsid w:val="00516C31"/>
    <w:rsid w:val="009F599A"/>
    <w:rsid w:val="00B9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009556BDB8245608EB4E02B28CE2411">
    <w:name w:val="5009556BDB8245608EB4E02B28CE2411"/>
    <w:rsid w:val="00322ACA"/>
  </w:style>
  <w:style w:type="paragraph" w:customStyle="1" w:styleId="DDA283BAB268419BAAD97E4ED3DEB432">
    <w:name w:val="DDA283BAB268419BAAD97E4ED3DEB432"/>
    <w:rsid w:val="00322ACA"/>
  </w:style>
  <w:style w:type="paragraph" w:customStyle="1" w:styleId="1469E7DD84F146C192D6808B9EA3FB10">
    <w:name w:val="1469E7DD84F146C192D6808B9EA3FB10"/>
    <w:rsid w:val="00322A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Code des sociétés commerciales                                                                                                                             Livre premier– Dispositions communes                                                                </vt:lpstr>
    </vt:vector>
  </TitlesOfParts>
  <Company>.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des sociétés commerciales                                                                                                                             Livre premier– Dispositions communes                                                                            Titre trois – La dissolution des sociétés                                                                      Sous titre premier – Les causes de dissolution</dc:title>
  <dc:subject/>
  <dc:creator>.</dc:creator>
  <cp:keywords/>
  <dc:description/>
  <cp:lastModifiedBy>ZIED</cp:lastModifiedBy>
  <cp:revision>19</cp:revision>
  <dcterms:created xsi:type="dcterms:W3CDTF">2012-02-08T16:21:00Z</dcterms:created>
  <dcterms:modified xsi:type="dcterms:W3CDTF">2012-03-08T11:03:00Z</dcterms:modified>
</cp:coreProperties>
</file>