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5" w:rsidRPr="00C04B85" w:rsidRDefault="00C04B8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04B85" w:rsidRPr="00C04B85" w:rsidRDefault="00C04B85" w:rsidP="00C04B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C04B85">
        <w:rPr>
          <w:rFonts w:ascii="Times New Roman" w:hAnsi="Times New Roman" w:cs="Times New Roman"/>
          <w:b/>
          <w:bCs/>
        </w:rPr>
        <w:t>Article 13 : L</w:t>
      </w:r>
      <w:r w:rsidR="00142275" w:rsidRPr="00C04B85">
        <w:rPr>
          <w:rFonts w:ascii="Times New Roman" w:hAnsi="Times New Roman" w:cs="Times New Roman"/>
          <w:b/>
          <w:bCs/>
        </w:rPr>
        <w:t>e commissaire aux comptes</w:t>
      </w:r>
      <w:r w:rsidR="00142275" w:rsidRPr="00C04B85">
        <w:rPr>
          <w:rFonts w:ascii="Times New Roman" w:hAnsi="Times New Roman" w:cs="Times New Roman"/>
          <w:i/>
          <w:iCs/>
        </w:rPr>
        <w:t xml:space="preserve"> </w:t>
      </w:r>
    </w:p>
    <w:p w:rsidR="00142275" w:rsidRPr="00C04B85" w:rsidRDefault="00142275" w:rsidP="00C04B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C04B85">
        <w:rPr>
          <w:rFonts w:ascii="Times New Roman" w:hAnsi="Times New Roman" w:cs="Times New Roman"/>
          <w:i/>
          <w:iCs/>
        </w:rPr>
        <w:t>(Loi n° 2005-96 du 18 octobre 2005, art.1er.)</w:t>
      </w:r>
    </w:p>
    <w:p w:rsidR="00C04B85" w:rsidRPr="00C04B85" w:rsidRDefault="00C04B8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42275" w:rsidRPr="00C04B85" w:rsidRDefault="0014227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Les sociétés commerciales sont tenues de désigner un commissaire aux comptes.</w:t>
      </w:r>
    </w:p>
    <w:p w:rsidR="00C04B85" w:rsidRPr="00C04B85" w:rsidRDefault="00C04B8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930F5" w:rsidRDefault="00142275" w:rsidP="00C04B8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Toutefois, les sociétés commerciales, autres que les sociétés par actions, sont dispensées de la désignation</w:t>
      </w:r>
      <w:r w:rsidR="00C04B85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>d’un commissaire aux comptes :</w:t>
      </w:r>
    </w:p>
    <w:p w:rsidR="000930F5" w:rsidRPr="000930F5" w:rsidRDefault="00142275" w:rsidP="000930F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0930F5">
        <w:rPr>
          <w:rFonts w:ascii="Times New Roman" w:hAnsi="Times New Roman" w:cs="Times New Roman"/>
        </w:rPr>
        <w:t>au titre du premier exercice comptable de leur activité,</w:t>
      </w:r>
    </w:p>
    <w:p w:rsidR="000930F5" w:rsidRPr="000930F5" w:rsidRDefault="00142275" w:rsidP="000930F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rPr>
          <w:rFonts w:ascii="Times New Roman" w:hAnsi="Times New Roman" w:cs="Times New Roman"/>
        </w:rPr>
      </w:pPr>
      <w:r w:rsidRPr="000930F5">
        <w:rPr>
          <w:rFonts w:ascii="Times New Roman" w:hAnsi="Times New Roman" w:cs="Times New Roman"/>
        </w:rPr>
        <w:t>si elles ne remplissent pas deux des limites chiffrées relatives au total du bilan, au total des produits hors</w:t>
      </w:r>
      <w:r w:rsidR="00C04B85" w:rsidRPr="000930F5">
        <w:rPr>
          <w:rFonts w:ascii="Times New Roman" w:hAnsi="Times New Roman" w:cs="Times New Roman"/>
        </w:rPr>
        <w:t xml:space="preserve"> </w:t>
      </w:r>
      <w:r w:rsidRPr="000930F5">
        <w:rPr>
          <w:rFonts w:ascii="Times New Roman" w:hAnsi="Times New Roman" w:cs="Times New Roman"/>
        </w:rPr>
        <w:t>taxes et au nombre moyen des employ</w:t>
      </w:r>
      <w:r w:rsidR="000930F5" w:rsidRPr="000930F5">
        <w:rPr>
          <w:rFonts w:ascii="Times New Roman" w:hAnsi="Times New Roman" w:cs="Times New Roman"/>
        </w:rPr>
        <w:t>és,</w:t>
      </w:r>
    </w:p>
    <w:p w:rsidR="00142275" w:rsidRPr="000930F5" w:rsidRDefault="00142275" w:rsidP="000930F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930F5">
        <w:rPr>
          <w:rFonts w:ascii="Times New Roman" w:hAnsi="Times New Roman" w:cs="Times New Roman"/>
        </w:rPr>
        <w:t>ou si elles ne remplissent plus durant les deux derniers exercices comptables du mandat du commissaire</w:t>
      </w:r>
      <w:r w:rsidR="00C04B85" w:rsidRPr="000930F5">
        <w:rPr>
          <w:rFonts w:ascii="Times New Roman" w:hAnsi="Times New Roman" w:cs="Times New Roman"/>
        </w:rPr>
        <w:t xml:space="preserve"> </w:t>
      </w:r>
      <w:r w:rsidRPr="000930F5">
        <w:rPr>
          <w:rFonts w:ascii="Times New Roman" w:hAnsi="Times New Roman" w:cs="Times New Roman"/>
        </w:rPr>
        <w:t>aux comptes deux des limites chiffrées visées au deuxième tiret.</w:t>
      </w:r>
    </w:p>
    <w:p w:rsidR="000930F5" w:rsidRPr="00C04B85" w:rsidRDefault="000930F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930F5" w:rsidRDefault="00142275" w:rsidP="00C04B8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Le commissaire aux comptes doit être désigné parmi les experts comptables inscrits au tableau de l’ordre des</w:t>
      </w:r>
      <w:r w:rsidR="00C04B85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>experts comptables de Tunisie si deux des limites chiffrées relatives au total du bilan, au total des produits</w:t>
      </w:r>
      <w:r w:rsidR="00C04B85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 xml:space="preserve">hors taxes et au nombre moyen des employés sont remplies. </w:t>
      </w:r>
    </w:p>
    <w:p w:rsidR="000930F5" w:rsidRDefault="0014227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Au cas où ces limites chiffrées ne sont pas</w:t>
      </w:r>
      <w:r w:rsidR="00C04B85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>remplies, le commissaire aux comptes est désigné</w:t>
      </w:r>
      <w:r w:rsidR="000930F5">
        <w:rPr>
          <w:rFonts w:ascii="Times New Roman" w:hAnsi="Times New Roman" w:cs="Times New Roman"/>
        </w:rPr>
        <w:t> :</w:t>
      </w:r>
    </w:p>
    <w:p w:rsidR="000930F5" w:rsidRDefault="00142275" w:rsidP="000930F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0930F5">
        <w:rPr>
          <w:rFonts w:ascii="Times New Roman" w:hAnsi="Times New Roman" w:cs="Times New Roman"/>
        </w:rPr>
        <w:t>soit parmi les experts comptables inscrits au tableau de</w:t>
      </w:r>
      <w:r w:rsidR="00C04B85" w:rsidRPr="000930F5">
        <w:rPr>
          <w:rFonts w:ascii="Times New Roman" w:hAnsi="Times New Roman" w:cs="Times New Roman"/>
        </w:rPr>
        <w:t xml:space="preserve"> </w:t>
      </w:r>
      <w:r w:rsidRPr="000930F5">
        <w:rPr>
          <w:rFonts w:ascii="Times New Roman" w:hAnsi="Times New Roman" w:cs="Times New Roman"/>
        </w:rPr>
        <w:t xml:space="preserve">l’ordre des experts comptables de Tunisie, </w:t>
      </w:r>
    </w:p>
    <w:p w:rsidR="00142275" w:rsidRDefault="00142275" w:rsidP="000930F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0930F5">
        <w:rPr>
          <w:rFonts w:ascii="Times New Roman" w:hAnsi="Times New Roman" w:cs="Times New Roman"/>
        </w:rPr>
        <w:t>soit parmi les spécialistes en comptabilité inscrits au tableau de la</w:t>
      </w:r>
      <w:r w:rsidR="00C04B85" w:rsidRPr="000930F5">
        <w:rPr>
          <w:rFonts w:ascii="Times New Roman" w:hAnsi="Times New Roman" w:cs="Times New Roman"/>
        </w:rPr>
        <w:t xml:space="preserve"> </w:t>
      </w:r>
      <w:r w:rsidRPr="000930F5">
        <w:rPr>
          <w:rFonts w:ascii="Times New Roman" w:hAnsi="Times New Roman" w:cs="Times New Roman"/>
        </w:rPr>
        <w:t>compagnie des comptables de Tunisie.</w:t>
      </w:r>
    </w:p>
    <w:p w:rsidR="000930F5" w:rsidRPr="000930F5" w:rsidRDefault="000930F5" w:rsidP="000930F5">
      <w:pPr>
        <w:pStyle w:val="Paragraphedeliste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</w:rPr>
      </w:pPr>
    </w:p>
    <w:p w:rsidR="00142275" w:rsidRDefault="0014227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Les limites chiffrées et le mode de calcul du nombre moyen des employés, prévus par les paragraphes 2 et 3</w:t>
      </w:r>
      <w:r w:rsidR="00C04B85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>du présent article, sont fixés par décret.</w:t>
      </w:r>
    </w:p>
    <w:p w:rsidR="00DF3D25" w:rsidRDefault="00DF3D2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562" w:rsidRDefault="00752562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562" w:rsidRDefault="00752562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6F7D" w:rsidRDefault="00E86F7D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52562" w:rsidRDefault="00142275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04B85">
        <w:rPr>
          <w:rFonts w:ascii="Times New Roman" w:hAnsi="Times New Roman" w:cs="Times New Roman"/>
          <w:b/>
          <w:bCs/>
        </w:rPr>
        <w:t>Article 13 bis</w:t>
      </w:r>
      <w:r w:rsidR="00752562">
        <w:rPr>
          <w:rFonts w:ascii="Times New Roman" w:hAnsi="Times New Roman" w:cs="Times New Roman"/>
          <w:b/>
          <w:bCs/>
        </w:rPr>
        <w:t xml:space="preserve"> : </w:t>
      </w:r>
      <w:r w:rsidR="00E86F7D">
        <w:rPr>
          <w:rFonts w:ascii="Times New Roman" w:hAnsi="Times New Roman" w:cs="Times New Roman"/>
          <w:b/>
          <w:bCs/>
        </w:rPr>
        <w:t>Ma</w:t>
      </w:r>
      <w:r w:rsidR="00752562">
        <w:rPr>
          <w:rFonts w:ascii="Times New Roman" w:hAnsi="Times New Roman" w:cs="Times New Roman"/>
          <w:b/>
          <w:bCs/>
        </w:rPr>
        <w:t>ndat du commissaire aux comptes</w:t>
      </w:r>
    </w:p>
    <w:p w:rsidR="00142275" w:rsidRPr="00C04B85" w:rsidRDefault="00142275" w:rsidP="007525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C04B85">
        <w:rPr>
          <w:rFonts w:ascii="Times New Roman" w:hAnsi="Times New Roman" w:cs="Times New Roman"/>
        </w:rPr>
        <w:t>(</w:t>
      </w:r>
      <w:r w:rsidRPr="00C04B85">
        <w:rPr>
          <w:rFonts w:ascii="Times New Roman" w:hAnsi="Times New Roman" w:cs="Times New Roman"/>
          <w:i/>
          <w:iCs/>
        </w:rPr>
        <w:t>Inséré par la loi n° 2005-96 du 18 octobre 2005, art.3)</w:t>
      </w:r>
    </w:p>
    <w:p w:rsidR="00752562" w:rsidRDefault="00752562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42275" w:rsidRPr="00C04B85" w:rsidRDefault="0014227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 xml:space="preserve">Le commissaire aux comptes est désigné pour </w:t>
      </w:r>
      <w:r w:rsidRPr="00E86F7D">
        <w:rPr>
          <w:rFonts w:ascii="Times New Roman" w:hAnsi="Times New Roman" w:cs="Times New Roman"/>
          <w:u w:val="single"/>
        </w:rPr>
        <w:t xml:space="preserve">une période de </w:t>
      </w:r>
      <w:r w:rsidRPr="00E86F7D">
        <w:rPr>
          <w:rFonts w:ascii="Times New Roman" w:hAnsi="Times New Roman" w:cs="Times New Roman"/>
          <w:b/>
          <w:u w:val="single"/>
        </w:rPr>
        <w:t>trois années</w:t>
      </w:r>
      <w:r w:rsidRPr="00E86F7D">
        <w:rPr>
          <w:rFonts w:ascii="Times New Roman" w:hAnsi="Times New Roman" w:cs="Times New Roman"/>
          <w:u w:val="single"/>
        </w:rPr>
        <w:t xml:space="preserve"> renouvelable.</w:t>
      </w: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86F7D" w:rsidRDefault="00142275" w:rsidP="00C04B8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Toutefois, le nombre de mandats successifs, compte tenu du renouvellement, ne peut excéder pour les</w:t>
      </w:r>
      <w:r w:rsidR="00DF3D25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>sociétés commerciales soumises à l’obligation de désigner un commissaire aux comptes inscrit au tableau de</w:t>
      </w:r>
      <w:r w:rsidR="00DF3D25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>l’</w:t>
      </w:r>
      <w:r w:rsidR="00E86F7D">
        <w:rPr>
          <w:rFonts w:ascii="Times New Roman" w:hAnsi="Times New Roman" w:cs="Times New Roman"/>
        </w:rPr>
        <w:t>OECT :</w:t>
      </w:r>
    </w:p>
    <w:p w:rsidR="00E86F7D" w:rsidRDefault="00142275" w:rsidP="00E86F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</w:rPr>
        <w:t>trois mandats lorsque le commissaire aux comptes est une</w:t>
      </w:r>
      <w:r w:rsidR="00DF3D25" w:rsidRPr="00E86F7D">
        <w:rPr>
          <w:rFonts w:ascii="Times New Roman" w:hAnsi="Times New Roman" w:cs="Times New Roman"/>
        </w:rPr>
        <w:t xml:space="preserve"> </w:t>
      </w:r>
      <w:r w:rsidR="00E86F7D">
        <w:rPr>
          <w:rFonts w:ascii="Times New Roman" w:hAnsi="Times New Roman" w:cs="Times New Roman"/>
        </w:rPr>
        <w:t xml:space="preserve">personne physique </w:t>
      </w:r>
    </w:p>
    <w:p w:rsidR="00E86F7D" w:rsidRDefault="00142275" w:rsidP="00E86F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</w:rPr>
        <w:t>cinq mandats si le commissaire aux comptes revêt la forme d’une société d’expertise</w:t>
      </w:r>
      <w:r w:rsidR="00DF3D25" w:rsidRPr="00E86F7D">
        <w:rPr>
          <w:rFonts w:ascii="Times New Roman" w:hAnsi="Times New Roman" w:cs="Times New Roman"/>
        </w:rPr>
        <w:t xml:space="preserve"> </w:t>
      </w:r>
      <w:r w:rsidRPr="00E86F7D">
        <w:rPr>
          <w:rFonts w:ascii="Times New Roman" w:hAnsi="Times New Roman" w:cs="Times New Roman"/>
        </w:rPr>
        <w:t xml:space="preserve">comptable comportant au moins trois experts comptables inscrits au tableau de </w:t>
      </w:r>
      <w:r w:rsidR="00E86F7D">
        <w:rPr>
          <w:rFonts w:ascii="Times New Roman" w:hAnsi="Times New Roman" w:cs="Times New Roman"/>
        </w:rPr>
        <w:t>OECT</w:t>
      </w:r>
      <w:r w:rsidRPr="00E86F7D">
        <w:rPr>
          <w:rFonts w:ascii="Times New Roman" w:hAnsi="Times New Roman" w:cs="Times New Roman"/>
        </w:rPr>
        <w:t xml:space="preserve"> </w:t>
      </w:r>
    </w:p>
    <w:p w:rsidR="00E86F7D" w:rsidRDefault="00E86F7D" w:rsidP="00E86F7D">
      <w:pPr>
        <w:pStyle w:val="Paragraphedeliste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86F7D" w:rsidRPr="00E86F7D" w:rsidRDefault="00142275" w:rsidP="00E86F7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  <w:u w:val="single"/>
        </w:rPr>
        <w:t>à condition</w:t>
      </w:r>
      <w:r w:rsidR="00E86F7D">
        <w:rPr>
          <w:rFonts w:ascii="Times New Roman" w:hAnsi="Times New Roman" w:cs="Times New Roman"/>
          <w:u w:val="single"/>
        </w:rPr>
        <w:t> :</w:t>
      </w:r>
    </w:p>
    <w:p w:rsidR="00E86F7D" w:rsidRPr="00E86F7D" w:rsidRDefault="00E86F7D" w:rsidP="00E86F7D">
      <w:pPr>
        <w:pStyle w:val="Paragraphedeliste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:rsidR="00E86F7D" w:rsidRDefault="00142275" w:rsidP="00E86F7D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</w:rPr>
        <w:t xml:space="preserve"> de changer le professionnel qui engage sa responsabilité</w:t>
      </w:r>
      <w:r w:rsidR="00DF3D25" w:rsidRPr="00E86F7D">
        <w:rPr>
          <w:rFonts w:ascii="Times New Roman" w:hAnsi="Times New Roman" w:cs="Times New Roman"/>
        </w:rPr>
        <w:t xml:space="preserve"> </w:t>
      </w:r>
      <w:r w:rsidRPr="00E86F7D">
        <w:rPr>
          <w:rFonts w:ascii="Times New Roman" w:hAnsi="Times New Roman" w:cs="Times New Roman"/>
        </w:rPr>
        <w:t xml:space="preserve">personnelle sur le contenu du rapport de contrôle des comptes </w:t>
      </w:r>
    </w:p>
    <w:p w:rsidR="00E86F7D" w:rsidRDefault="00142275" w:rsidP="00E86F7D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</w:rPr>
        <w:t>et de changer l’équipe intervenant dans</w:t>
      </w:r>
      <w:r w:rsidR="00DF3D25" w:rsidRPr="00E86F7D">
        <w:rPr>
          <w:rFonts w:ascii="Times New Roman" w:hAnsi="Times New Roman" w:cs="Times New Roman"/>
        </w:rPr>
        <w:t xml:space="preserve"> </w:t>
      </w:r>
      <w:r w:rsidRPr="00E86F7D">
        <w:rPr>
          <w:rFonts w:ascii="Times New Roman" w:hAnsi="Times New Roman" w:cs="Times New Roman"/>
        </w:rPr>
        <w:t xml:space="preserve">l’opération du contrôle une fois, au moins, après trois mandats. </w:t>
      </w:r>
    </w:p>
    <w:p w:rsidR="00E86F7D" w:rsidRDefault="00E86F7D" w:rsidP="00E86F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86F7D" w:rsidRDefault="00E86F7D" w:rsidP="00E86F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86F7D" w:rsidRDefault="00E86F7D" w:rsidP="00E86F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42275" w:rsidRPr="00E86F7D" w:rsidRDefault="00142275" w:rsidP="00E86F7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</w:rPr>
        <w:t>Les dispositions du deuxième paragraphe du présent article s’appliquent lors du renouvellement des mandats</w:t>
      </w:r>
      <w:r w:rsidR="00DF3D25" w:rsidRPr="00E86F7D">
        <w:rPr>
          <w:rFonts w:ascii="Times New Roman" w:hAnsi="Times New Roman" w:cs="Times New Roman"/>
        </w:rPr>
        <w:t xml:space="preserve"> </w:t>
      </w:r>
      <w:r w:rsidRPr="00E86F7D">
        <w:rPr>
          <w:rFonts w:ascii="Times New Roman" w:hAnsi="Times New Roman" w:cs="Times New Roman"/>
        </w:rPr>
        <w:t>à partir du premier janvier 2009.</w:t>
      </w:r>
    </w:p>
    <w:p w:rsidR="00273DBB" w:rsidRDefault="00273DBB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86F7D" w:rsidRDefault="00142275" w:rsidP="00E86F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04B85">
        <w:rPr>
          <w:rFonts w:ascii="Times New Roman" w:hAnsi="Times New Roman" w:cs="Times New Roman"/>
          <w:b/>
          <w:bCs/>
        </w:rPr>
        <w:t>Article 13 ter</w:t>
      </w:r>
      <w:r w:rsidR="00E86F7D">
        <w:rPr>
          <w:rFonts w:ascii="Times New Roman" w:hAnsi="Times New Roman" w:cs="Times New Roman"/>
          <w:b/>
          <w:bCs/>
        </w:rPr>
        <w:t> : La Co-commissariat</w:t>
      </w:r>
    </w:p>
    <w:p w:rsidR="00142275" w:rsidRDefault="00142275" w:rsidP="00E86F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C04B85">
        <w:rPr>
          <w:rFonts w:ascii="Times New Roman" w:hAnsi="Times New Roman" w:cs="Times New Roman"/>
        </w:rPr>
        <w:t>(</w:t>
      </w:r>
      <w:r w:rsidRPr="00C04B85">
        <w:rPr>
          <w:rFonts w:ascii="Times New Roman" w:hAnsi="Times New Roman" w:cs="Times New Roman"/>
          <w:i/>
          <w:iCs/>
        </w:rPr>
        <w:t>Inséré par la loi n° 2005-96 du 18 octobre 2005, art.5)</w:t>
      </w:r>
    </w:p>
    <w:p w:rsidR="00E86F7D" w:rsidRDefault="00E86F7D" w:rsidP="00E86F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11459F" w:rsidRPr="00C04B85" w:rsidRDefault="0011459F" w:rsidP="00E86F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E86F7D" w:rsidRDefault="00142275" w:rsidP="00E86F7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Sont soumis à la désignation de deux ou de plusieurs commissaires aux comptes inscrits au tableau de</w:t>
      </w:r>
      <w:r w:rsidR="00273DBB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>l’ordre des experts comptables de Tunisie :</w:t>
      </w:r>
    </w:p>
    <w:p w:rsidR="00E86F7D" w:rsidRDefault="00142275" w:rsidP="00EF1C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</w:rPr>
        <w:t>les établissements de crédit faisant appel public à l’épargne et les sociétés d’assurances multi-branches,</w:t>
      </w:r>
    </w:p>
    <w:p w:rsidR="00E86F7D" w:rsidRDefault="00142275" w:rsidP="00EF1C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</w:rPr>
        <w:t>les sociétés tenues d’établir des états financiers consolidés conformément à la législation en vigueur si le</w:t>
      </w:r>
      <w:r w:rsidR="00273DBB" w:rsidRPr="00E86F7D">
        <w:rPr>
          <w:rFonts w:ascii="Times New Roman" w:hAnsi="Times New Roman" w:cs="Times New Roman"/>
        </w:rPr>
        <w:t xml:space="preserve"> </w:t>
      </w:r>
      <w:r w:rsidRPr="00E86F7D">
        <w:rPr>
          <w:rFonts w:ascii="Times New Roman" w:hAnsi="Times New Roman" w:cs="Times New Roman"/>
        </w:rPr>
        <w:t>total de leur bilan au titre des comptes consolidés dépasse un montant fixé par décret,</w:t>
      </w:r>
    </w:p>
    <w:p w:rsidR="00142275" w:rsidRPr="00E86F7D" w:rsidRDefault="00142275" w:rsidP="00EF1C5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E86F7D">
        <w:rPr>
          <w:rFonts w:ascii="Times New Roman" w:hAnsi="Times New Roman" w:cs="Times New Roman"/>
        </w:rPr>
        <w:t>les sociétés dont le total de leurs engagements auprès des établissements de crédit et l’encours de leurs</w:t>
      </w:r>
      <w:r w:rsidR="00273DBB" w:rsidRPr="00E86F7D">
        <w:rPr>
          <w:rFonts w:ascii="Times New Roman" w:hAnsi="Times New Roman" w:cs="Times New Roman"/>
        </w:rPr>
        <w:t xml:space="preserve"> </w:t>
      </w:r>
      <w:r w:rsidRPr="00E86F7D">
        <w:rPr>
          <w:rFonts w:ascii="Times New Roman" w:hAnsi="Times New Roman" w:cs="Times New Roman"/>
        </w:rPr>
        <w:t>émissions obligataires dépasse un montant fixé par décret.</w:t>
      </w:r>
    </w:p>
    <w:p w:rsidR="00E86F7D" w:rsidRPr="00C04B85" w:rsidRDefault="00E86F7D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45CE6" w:rsidRDefault="00142275" w:rsidP="00C04B8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Ces commissaires aux comptes</w:t>
      </w:r>
      <w:r w:rsidR="00A45CE6">
        <w:rPr>
          <w:rFonts w:ascii="Times New Roman" w:hAnsi="Times New Roman" w:cs="Times New Roman"/>
        </w:rPr>
        <w:t> :</w:t>
      </w:r>
    </w:p>
    <w:p w:rsidR="00A45CE6" w:rsidRDefault="00142275" w:rsidP="00A45CE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45CE6">
        <w:rPr>
          <w:rFonts w:ascii="Times New Roman" w:hAnsi="Times New Roman" w:cs="Times New Roman"/>
        </w:rPr>
        <w:t>ne doivent pas être liés par des relations d’association ou par d’autres liens</w:t>
      </w:r>
      <w:r w:rsidR="00273DBB" w:rsidRPr="00A45CE6">
        <w:rPr>
          <w:rFonts w:ascii="Times New Roman" w:hAnsi="Times New Roman" w:cs="Times New Roman"/>
        </w:rPr>
        <w:t xml:space="preserve"> </w:t>
      </w:r>
      <w:r w:rsidRPr="00A45CE6">
        <w:rPr>
          <w:rFonts w:ascii="Times New Roman" w:hAnsi="Times New Roman" w:cs="Times New Roman"/>
        </w:rPr>
        <w:t xml:space="preserve">quels qu’ils soient qui sont de nature à limiter leur indépendance </w:t>
      </w:r>
    </w:p>
    <w:p w:rsidR="00142275" w:rsidRDefault="00142275" w:rsidP="00A45CE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45CE6">
        <w:rPr>
          <w:rFonts w:ascii="Times New Roman" w:hAnsi="Times New Roman" w:cs="Times New Roman"/>
        </w:rPr>
        <w:t>et sont tenus de fixer les conditions et les</w:t>
      </w:r>
      <w:r w:rsidR="00273DBB" w:rsidRPr="00A45CE6">
        <w:rPr>
          <w:rFonts w:ascii="Times New Roman" w:hAnsi="Times New Roman" w:cs="Times New Roman"/>
        </w:rPr>
        <w:t xml:space="preserve"> </w:t>
      </w:r>
      <w:r w:rsidRPr="00A45CE6">
        <w:rPr>
          <w:rFonts w:ascii="Times New Roman" w:hAnsi="Times New Roman" w:cs="Times New Roman"/>
        </w:rPr>
        <w:t>modalités d’élaboration de leurs rapports en s’appuyant sur la procédure de l’examen contradictoire.</w:t>
      </w:r>
    </w:p>
    <w:p w:rsidR="00191B12" w:rsidRDefault="00191B12" w:rsidP="00191B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91B12" w:rsidRPr="00191B12" w:rsidRDefault="00191B12" w:rsidP="00191B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C6AA0" w:rsidRDefault="00DC6AA0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191B12" w:rsidRDefault="00191B12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191B12" w:rsidRDefault="00142275" w:rsidP="00191B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04B85">
        <w:rPr>
          <w:rFonts w:ascii="Times New Roman" w:hAnsi="Times New Roman" w:cs="Times New Roman"/>
          <w:b/>
          <w:bCs/>
        </w:rPr>
        <w:t>Article 13 quater</w:t>
      </w:r>
      <w:r w:rsidR="00191B12">
        <w:rPr>
          <w:rFonts w:ascii="Times New Roman" w:hAnsi="Times New Roman" w:cs="Times New Roman"/>
          <w:b/>
          <w:bCs/>
        </w:rPr>
        <w:t> : Rapport du CAC pour la banque centrale</w:t>
      </w:r>
      <w:r w:rsidRPr="00C04B85">
        <w:rPr>
          <w:rFonts w:ascii="Times New Roman" w:hAnsi="Times New Roman" w:cs="Times New Roman"/>
          <w:b/>
          <w:bCs/>
        </w:rPr>
        <w:t xml:space="preserve"> </w:t>
      </w:r>
    </w:p>
    <w:p w:rsidR="00142275" w:rsidRDefault="00142275" w:rsidP="00191B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C04B85">
        <w:rPr>
          <w:rFonts w:ascii="Times New Roman" w:hAnsi="Times New Roman" w:cs="Times New Roman"/>
        </w:rPr>
        <w:t>(</w:t>
      </w:r>
      <w:r w:rsidRPr="00C04B85">
        <w:rPr>
          <w:rFonts w:ascii="Times New Roman" w:hAnsi="Times New Roman" w:cs="Times New Roman"/>
          <w:i/>
          <w:iCs/>
        </w:rPr>
        <w:t>Inséré par la loi n° 2005-96 du 18 octobre, art.7)</w:t>
      </w:r>
    </w:p>
    <w:p w:rsidR="00191B12" w:rsidRDefault="00191B12" w:rsidP="00191B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191B12" w:rsidRPr="00C04B85" w:rsidRDefault="00191B12" w:rsidP="00191B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191B12" w:rsidRDefault="00191B12" w:rsidP="00191B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42275" w:rsidRPr="00C04B85">
        <w:rPr>
          <w:rFonts w:ascii="Times New Roman" w:hAnsi="Times New Roman" w:cs="Times New Roman"/>
        </w:rPr>
        <w:t>es commissaires aux comptes sont tenus de communiquer à la banque</w:t>
      </w:r>
      <w:r w:rsidR="00273DBB">
        <w:rPr>
          <w:rFonts w:ascii="Times New Roman" w:hAnsi="Times New Roman" w:cs="Times New Roman"/>
        </w:rPr>
        <w:t xml:space="preserve"> </w:t>
      </w:r>
      <w:r w:rsidR="00142275" w:rsidRPr="00C04B85">
        <w:rPr>
          <w:rFonts w:ascii="Times New Roman" w:hAnsi="Times New Roman" w:cs="Times New Roman"/>
        </w:rPr>
        <w:t xml:space="preserve">centrale de Tunisie </w:t>
      </w:r>
      <w:r w:rsidR="00142275" w:rsidRPr="00191B12">
        <w:rPr>
          <w:rFonts w:ascii="Times New Roman" w:hAnsi="Times New Roman" w:cs="Times New Roman"/>
          <w:u w:val="single"/>
        </w:rPr>
        <w:t>une copie</w:t>
      </w:r>
      <w:r w:rsidR="00142275" w:rsidRPr="00C04B85">
        <w:rPr>
          <w:rFonts w:ascii="Times New Roman" w:hAnsi="Times New Roman" w:cs="Times New Roman"/>
        </w:rPr>
        <w:t xml:space="preserve"> </w:t>
      </w:r>
      <w:r w:rsidR="00142275" w:rsidRPr="00191B12">
        <w:rPr>
          <w:rFonts w:ascii="Times New Roman" w:hAnsi="Times New Roman" w:cs="Times New Roman"/>
          <w:u w:val="single"/>
        </w:rPr>
        <w:t>de chaque rapport adressé aux assemblées générales</w:t>
      </w:r>
      <w:r w:rsidR="00142275" w:rsidRPr="00C04B85">
        <w:rPr>
          <w:rFonts w:ascii="Times New Roman" w:hAnsi="Times New Roman" w:cs="Times New Roman"/>
        </w:rPr>
        <w:t>, et ce pour :</w:t>
      </w:r>
    </w:p>
    <w:p w:rsidR="00191B12" w:rsidRDefault="00142275" w:rsidP="00191B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91B12">
        <w:rPr>
          <w:rFonts w:ascii="Times New Roman" w:hAnsi="Times New Roman" w:cs="Times New Roman"/>
        </w:rPr>
        <w:t>les sociétés faisant appel public à l’épargne,</w:t>
      </w:r>
    </w:p>
    <w:p w:rsidR="00191B12" w:rsidRDefault="00142275" w:rsidP="00191B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91B12">
        <w:rPr>
          <w:rFonts w:ascii="Times New Roman" w:hAnsi="Times New Roman" w:cs="Times New Roman"/>
        </w:rPr>
        <w:t>les sociétés tenues d’établir des états financiers consolidés conformément à la législation en vigueur si le</w:t>
      </w:r>
      <w:r w:rsidR="00273DBB" w:rsidRPr="00191B12">
        <w:rPr>
          <w:rFonts w:ascii="Times New Roman" w:hAnsi="Times New Roman" w:cs="Times New Roman"/>
        </w:rPr>
        <w:t xml:space="preserve"> </w:t>
      </w:r>
      <w:r w:rsidRPr="00191B12">
        <w:rPr>
          <w:rFonts w:ascii="Times New Roman" w:hAnsi="Times New Roman" w:cs="Times New Roman"/>
        </w:rPr>
        <w:t>total de leur bilan au titre des comptes consolidés dépasse un montant fixé par décret,</w:t>
      </w:r>
    </w:p>
    <w:p w:rsidR="00142275" w:rsidRPr="00191B12" w:rsidRDefault="00142275" w:rsidP="00191B1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91B12">
        <w:rPr>
          <w:rFonts w:ascii="Times New Roman" w:hAnsi="Times New Roman" w:cs="Times New Roman"/>
        </w:rPr>
        <w:t>les sociétés dont le total de leurs engagements auprès des établissements de crédit et l’encours de leurs</w:t>
      </w:r>
      <w:r w:rsidR="00273DBB" w:rsidRPr="00191B12">
        <w:rPr>
          <w:rFonts w:ascii="Times New Roman" w:hAnsi="Times New Roman" w:cs="Times New Roman"/>
        </w:rPr>
        <w:t xml:space="preserve"> </w:t>
      </w:r>
      <w:r w:rsidRPr="00191B12">
        <w:rPr>
          <w:rFonts w:ascii="Times New Roman" w:hAnsi="Times New Roman" w:cs="Times New Roman"/>
        </w:rPr>
        <w:t>émissions obligataires dépasse un montant fixé par décret.</w:t>
      </w:r>
    </w:p>
    <w:p w:rsidR="00DC6AA0" w:rsidRDefault="00DC6AA0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653AF" w:rsidRDefault="008653AF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653AF" w:rsidRDefault="00142275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04B85">
        <w:rPr>
          <w:rFonts w:ascii="Times New Roman" w:hAnsi="Times New Roman" w:cs="Times New Roman"/>
          <w:b/>
          <w:bCs/>
        </w:rPr>
        <w:t xml:space="preserve">Article 13 </w:t>
      </w:r>
      <w:proofErr w:type="spellStart"/>
      <w:r w:rsidRPr="00C04B85">
        <w:rPr>
          <w:rFonts w:ascii="Times New Roman" w:hAnsi="Times New Roman" w:cs="Times New Roman"/>
          <w:b/>
          <w:bCs/>
        </w:rPr>
        <w:t>quinter</w:t>
      </w:r>
      <w:proofErr w:type="spellEnd"/>
      <w:r w:rsidR="008653AF">
        <w:rPr>
          <w:rFonts w:ascii="Times New Roman" w:hAnsi="Times New Roman" w:cs="Times New Roman"/>
          <w:b/>
          <w:bCs/>
        </w:rPr>
        <w:t> : Déclaration annuelle</w:t>
      </w:r>
    </w:p>
    <w:p w:rsidR="00142275" w:rsidRDefault="00142275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C04B85">
        <w:rPr>
          <w:rFonts w:ascii="Times New Roman" w:hAnsi="Times New Roman" w:cs="Times New Roman"/>
        </w:rPr>
        <w:t>(</w:t>
      </w:r>
      <w:r w:rsidRPr="00C04B85">
        <w:rPr>
          <w:rFonts w:ascii="Times New Roman" w:hAnsi="Times New Roman" w:cs="Times New Roman"/>
          <w:i/>
          <w:iCs/>
        </w:rPr>
        <w:t>Inséré par la loi n° 2005-96 du 18 octobre 2005, art.10)</w:t>
      </w:r>
    </w:p>
    <w:p w:rsidR="008653AF" w:rsidRDefault="008653AF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8653AF" w:rsidRPr="00C04B85" w:rsidRDefault="008653AF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683D46" w:rsidRDefault="0014227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Les organes de direction et les chargés des affaires financières et comptables des sociétés commerciales,</w:t>
      </w:r>
      <w:r w:rsidR="00DC6AA0">
        <w:rPr>
          <w:rFonts w:ascii="Times New Roman" w:hAnsi="Times New Roman" w:cs="Times New Roman"/>
        </w:rPr>
        <w:t xml:space="preserve"> </w:t>
      </w:r>
      <w:r w:rsidRPr="00C04B85">
        <w:rPr>
          <w:rFonts w:ascii="Times New Roman" w:hAnsi="Times New Roman" w:cs="Times New Roman"/>
        </w:rPr>
        <w:t>sont tenus de</w:t>
      </w:r>
      <w:r w:rsidR="00DC6AA0">
        <w:rPr>
          <w:rFonts w:ascii="Times New Roman" w:hAnsi="Times New Roman" w:cs="Times New Roman"/>
        </w:rPr>
        <w:t xml:space="preserve"> </w:t>
      </w:r>
      <w:r w:rsidRPr="00683D46">
        <w:rPr>
          <w:rFonts w:ascii="Times New Roman" w:hAnsi="Times New Roman" w:cs="Times New Roman"/>
          <w:u w:val="single"/>
        </w:rPr>
        <w:t>signer une déclaration annuelle présentée aux commissaires aux comptes pour attester qu’ils ont fourni les</w:t>
      </w:r>
      <w:r w:rsidR="00DC6AA0" w:rsidRPr="00683D46">
        <w:rPr>
          <w:rFonts w:ascii="Times New Roman" w:hAnsi="Times New Roman" w:cs="Times New Roman"/>
          <w:u w:val="single"/>
        </w:rPr>
        <w:t xml:space="preserve"> </w:t>
      </w:r>
      <w:r w:rsidRPr="00683D46">
        <w:rPr>
          <w:rFonts w:ascii="Times New Roman" w:hAnsi="Times New Roman" w:cs="Times New Roman"/>
          <w:u w:val="single"/>
        </w:rPr>
        <w:t>diligences nécessaires pour garantir l'exhaustivité et la conformité des états financiers à la législation</w:t>
      </w:r>
      <w:r w:rsidR="00DC6AA0" w:rsidRPr="00683D46">
        <w:rPr>
          <w:rFonts w:ascii="Times New Roman" w:hAnsi="Times New Roman" w:cs="Times New Roman"/>
          <w:u w:val="single"/>
        </w:rPr>
        <w:t xml:space="preserve"> </w:t>
      </w:r>
      <w:r w:rsidRPr="00683D46">
        <w:rPr>
          <w:rFonts w:ascii="Times New Roman" w:hAnsi="Times New Roman" w:cs="Times New Roman"/>
          <w:u w:val="single"/>
        </w:rPr>
        <w:t>comptable</w:t>
      </w:r>
      <w:r w:rsidRPr="00C04B85">
        <w:rPr>
          <w:rFonts w:ascii="Times New Roman" w:hAnsi="Times New Roman" w:cs="Times New Roman"/>
        </w:rPr>
        <w:t xml:space="preserve">. </w:t>
      </w:r>
    </w:p>
    <w:p w:rsidR="00683D46" w:rsidRDefault="00683D46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42275" w:rsidRPr="00C04B85" w:rsidRDefault="00142275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04B85">
        <w:rPr>
          <w:rFonts w:ascii="Times New Roman" w:hAnsi="Times New Roman" w:cs="Times New Roman"/>
        </w:rPr>
        <w:t>Le contenu de cette déclaration est fixé par arrêté du ministre des finances.</w:t>
      </w:r>
    </w:p>
    <w:p w:rsidR="00DC6AA0" w:rsidRDefault="00DC6AA0" w:rsidP="00C04B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B0B92" w:rsidRDefault="00CB0B92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0B92" w:rsidRDefault="00CB0B92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0B92" w:rsidRDefault="00CB0B92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0B92" w:rsidRDefault="00CB0B92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0B92" w:rsidRDefault="00CB0B92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8653AF" w:rsidRDefault="00142275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04B85">
        <w:rPr>
          <w:rFonts w:ascii="Times New Roman" w:hAnsi="Times New Roman" w:cs="Times New Roman"/>
          <w:b/>
          <w:bCs/>
        </w:rPr>
        <w:t xml:space="preserve">Article 13 </w:t>
      </w:r>
      <w:proofErr w:type="spellStart"/>
      <w:r w:rsidRPr="00C04B85">
        <w:rPr>
          <w:rFonts w:ascii="Times New Roman" w:hAnsi="Times New Roman" w:cs="Times New Roman"/>
          <w:b/>
          <w:bCs/>
        </w:rPr>
        <w:t>sexis</w:t>
      </w:r>
      <w:proofErr w:type="spellEnd"/>
      <w:r w:rsidR="008653AF">
        <w:rPr>
          <w:rFonts w:ascii="Times New Roman" w:hAnsi="Times New Roman" w:cs="Times New Roman"/>
          <w:b/>
          <w:bCs/>
        </w:rPr>
        <w:t> :</w:t>
      </w:r>
      <w:r w:rsidRPr="00C04B85">
        <w:rPr>
          <w:rFonts w:ascii="Times New Roman" w:hAnsi="Times New Roman" w:cs="Times New Roman"/>
          <w:b/>
          <w:bCs/>
        </w:rPr>
        <w:t xml:space="preserve"> </w:t>
      </w:r>
      <w:r w:rsidR="008653AF">
        <w:rPr>
          <w:rFonts w:ascii="Times New Roman" w:hAnsi="Times New Roman" w:cs="Times New Roman"/>
          <w:b/>
          <w:bCs/>
        </w:rPr>
        <w:t>Dispositions pénales liées aux CAC</w:t>
      </w:r>
    </w:p>
    <w:p w:rsidR="00142275" w:rsidRPr="00C04B85" w:rsidRDefault="00142275" w:rsidP="008653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C04B85">
        <w:rPr>
          <w:rFonts w:ascii="Times New Roman" w:hAnsi="Times New Roman" w:cs="Times New Roman"/>
        </w:rPr>
        <w:t>(</w:t>
      </w:r>
      <w:r w:rsidRPr="00C04B85">
        <w:rPr>
          <w:rFonts w:ascii="Times New Roman" w:hAnsi="Times New Roman" w:cs="Times New Roman"/>
          <w:i/>
          <w:iCs/>
        </w:rPr>
        <w:t>Inséré par la loi n° 2005-96 du 18 octobre 2005, art.11)</w:t>
      </w:r>
    </w:p>
    <w:p w:rsidR="00683D46" w:rsidRDefault="00683D46" w:rsidP="00DC6A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83D46" w:rsidRDefault="00683D46" w:rsidP="00DC6A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83D46" w:rsidRDefault="00683D46" w:rsidP="00DC6A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42275" w:rsidRPr="00C04B85">
        <w:rPr>
          <w:rFonts w:ascii="Times New Roman" w:hAnsi="Times New Roman" w:cs="Times New Roman"/>
        </w:rPr>
        <w:t>out dirigeant d’une société commerciale ou d’un groupement d’intérêt économique</w:t>
      </w:r>
      <w:r>
        <w:rPr>
          <w:rFonts w:ascii="Times New Roman" w:hAnsi="Times New Roman" w:cs="Times New Roman"/>
        </w:rPr>
        <w:t> :</w:t>
      </w:r>
    </w:p>
    <w:p w:rsidR="00683D46" w:rsidRDefault="00142275" w:rsidP="00683D4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83D46">
        <w:rPr>
          <w:rFonts w:ascii="Times New Roman" w:hAnsi="Times New Roman" w:cs="Times New Roman"/>
        </w:rPr>
        <w:t xml:space="preserve">qui entrave </w:t>
      </w:r>
      <w:r w:rsidRPr="00683D46">
        <w:rPr>
          <w:rFonts w:ascii="Times New Roman" w:hAnsi="Times New Roman" w:cs="Times New Roman"/>
          <w:u w:val="single"/>
        </w:rPr>
        <w:t>les</w:t>
      </w:r>
      <w:r w:rsidR="00DC6AA0" w:rsidRPr="00683D46">
        <w:rPr>
          <w:rFonts w:ascii="Times New Roman" w:hAnsi="Times New Roman" w:cs="Times New Roman"/>
          <w:u w:val="single"/>
        </w:rPr>
        <w:t xml:space="preserve"> </w:t>
      </w:r>
      <w:r w:rsidRPr="00683D46">
        <w:rPr>
          <w:rFonts w:ascii="Times New Roman" w:hAnsi="Times New Roman" w:cs="Times New Roman"/>
          <w:u w:val="single"/>
        </w:rPr>
        <w:t>travaux</w:t>
      </w:r>
      <w:r w:rsidRPr="00683D46">
        <w:rPr>
          <w:rFonts w:ascii="Times New Roman" w:hAnsi="Times New Roman" w:cs="Times New Roman"/>
        </w:rPr>
        <w:t xml:space="preserve"> du ou des commissaires aux comptes </w:t>
      </w:r>
    </w:p>
    <w:p w:rsidR="00683D46" w:rsidRPr="00683D46" w:rsidRDefault="00142275" w:rsidP="00683D4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83D46">
        <w:rPr>
          <w:rFonts w:ascii="Times New Roman" w:hAnsi="Times New Roman" w:cs="Times New Roman"/>
        </w:rPr>
        <w:t>ou qui refuse de fournir, à leur demande, par tout moyen qui</w:t>
      </w:r>
      <w:r w:rsidR="00DC6AA0" w:rsidRPr="00683D46">
        <w:rPr>
          <w:rFonts w:ascii="Times New Roman" w:hAnsi="Times New Roman" w:cs="Times New Roman"/>
        </w:rPr>
        <w:t xml:space="preserve"> </w:t>
      </w:r>
      <w:r w:rsidRPr="00683D46">
        <w:rPr>
          <w:rFonts w:ascii="Times New Roman" w:hAnsi="Times New Roman" w:cs="Times New Roman"/>
        </w:rPr>
        <w:t>laisse une trace écrite, les documents nécessaires à l’exercice de leurs missions.</w:t>
      </w:r>
    </w:p>
    <w:p w:rsidR="00683D46" w:rsidRPr="00683D46" w:rsidRDefault="00683D46" w:rsidP="00683D46">
      <w:pPr>
        <w:rPr>
          <w:rFonts w:ascii="Times New Roman" w:hAnsi="Times New Roman" w:cs="Times New Roman"/>
        </w:rPr>
      </w:pPr>
    </w:p>
    <w:p w:rsidR="00683D46" w:rsidRDefault="00683D46" w:rsidP="00683D4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683D46">
        <w:rPr>
          <w:rFonts w:ascii="Times New Roman" w:hAnsi="Times New Roman" w:cs="Times New Roman"/>
        </w:rPr>
        <w:t xml:space="preserve">emprisonnement de </w:t>
      </w:r>
      <w:r w:rsidRPr="00683D46">
        <w:rPr>
          <w:rFonts w:ascii="Times New Roman" w:hAnsi="Times New Roman" w:cs="Times New Roman"/>
          <w:b/>
        </w:rPr>
        <w:t xml:space="preserve">six </w:t>
      </w:r>
      <w:r>
        <w:rPr>
          <w:rFonts w:ascii="Times New Roman" w:hAnsi="Times New Roman" w:cs="Times New Roman"/>
          <w:b/>
        </w:rPr>
        <w:t xml:space="preserve">(6) </w:t>
      </w:r>
      <w:r w:rsidRPr="00683D46">
        <w:rPr>
          <w:rFonts w:ascii="Times New Roman" w:hAnsi="Times New Roman" w:cs="Times New Roman"/>
          <w:b/>
        </w:rPr>
        <w:t>mois</w:t>
      </w:r>
      <w:r w:rsidRPr="00683D46">
        <w:rPr>
          <w:rFonts w:ascii="Times New Roman" w:hAnsi="Times New Roman" w:cs="Times New Roman"/>
        </w:rPr>
        <w:t xml:space="preserve"> </w:t>
      </w:r>
    </w:p>
    <w:p w:rsidR="00683D46" w:rsidRDefault="00683D46" w:rsidP="00683D46">
      <w:pPr>
        <w:pStyle w:val="Paragraphedeliste"/>
        <w:spacing w:before="240"/>
        <w:rPr>
          <w:rFonts w:ascii="Times New Roman" w:hAnsi="Times New Roman" w:cs="Times New Roman"/>
        </w:rPr>
      </w:pPr>
      <w:r w:rsidRPr="00683D46">
        <w:rPr>
          <w:rFonts w:ascii="Times New Roman" w:hAnsi="Times New Roman" w:cs="Times New Roman"/>
          <w:b/>
          <w:u w:val="single"/>
        </w:rPr>
        <w:t>Et</w:t>
      </w:r>
      <w:r w:rsidRPr="00683D46">
        <w:rPr>
          <w:rFonts w:ascii="Times New Roman" w:hAnsi="Times New Roman" w:cs="Times New Roman"/>
        </w:rPr>
        <w:t xml:space="preserve"> </w:t>
      </w:r>
    </w:p>
    <w:p w:rsidR="00683D46" w:rsidRPr="00683D46" w:rsidRDefault="00683D46" w:rsidP="00683D46">
      <w:pPr>
        <w:pStyle w:val="Paragraphedeliste"/>
        <w:spacing w:before="240"/>
        <w:rPr>
          <w:rFonts w:ascii="Times New Roman" w:hAnsi="Times New Roman" w:cs="Times New Roman"/>
        </w:rPr>
      </w:pPr>
    </w:p>
    <w:p w:rsidR="00683D46" w:rsidRPr="00683D46" w:rsidRDefault="00683D46" w:rsidP="00683D46">
      <w:pPr>
        <w:pStyle w:val="Paragraphedeliste"/>
        <w:numPr>
          <w:ilvl w:val="0"/>
          <w:numId w:val="3"/>
        </w:numPr>
        <w:spacing w:before="240"/>
        <w:rPr>
          <w:rFonts w:ascii="Times New Roman" w:hAnsi="Times New Roman" w:cs="Times New Roman"/>
          <w:b/>
        </w:rPr>
      </w:pPr>
      <w:r w:rsidRPr="00683D46">
        <w:rPr>
          <w:rFonts w:ascii="Times New Roman" w:hAnsi="Times New Roman" w:cs="Times New Roman"/>
        </w:rPr>
        <w:t xml:space="preserve">d’une amende de </w:t>
      </w:r>
      <w:r w:rsidRPr="00683D46">
        <w:rPr>
          <w:rFonts w:ascii="Times New Roman" w:hAnsi="Times New Roman" w:cs="Times New Roman"/>
          <w:b/>
        </w:rPr>
        <w:t>cinq mille dinars</w:t>
      </w:r>
      <w:r>
        <w:rPr>
          <w:rFonts w:ascii="Times New Roman" w:hAnsi="Times New Roman" w:cs="Times New Roman"/>
          <w:b/>
        </w:rPr>
        <w:t xml:space="preserve"> </w:t>
      </w:r>
      <w:r w:rsidRPr="00683D46">
        <w:rPr>
          <w:rFonts w:ascii="Times New Roman" w:hAnsi="Times New Roman" w:cs="Times New Roman"/>
          <w:b/>
        </w:rPr>
        <w:t>(5000 DT)</w:t>
      </w:r>
    </w:p>
    <w:p w:rsidR="00683D46" w:rsidRDefault="00683D46" w:rsidP="00683D46">
      <w:pPr>
        <w:pStyle w:val="Paragraphedeliste"/>
        <w:rPr>
          <w:rFonts w:ascii="Times New Roman" w:hAnsi="Times New Roman" w:cs="Times New Roman"/>
          <w:b/>
          <w:u w:val="single"/>
        </w:rPr>
      </w:pPr>
      <w:r w:rsidRPr="00683D46">
        <w:rPr>
          <w:rFonts w:ascii="Times New Roman" w:hAnsi="Times New Roman" w:cs="Times New Roman"/>
          <w:b/>
          <w:u w:val="single"/>
        </w:rPr>
        <w:t>Ou</w:t>
      </w:r>
    </w:p>
    <w:p w:rsidR="00683D46" w:rsidRPr="00683D46" w:rsidRDefault="00683D46" w:rsidP="00683D46">
      <w:pPr>
        <w:pStyle w:val="Paragraphedeliste"/>
        <w:rPr>
          <w:rFonts w:ascii="Times New Roman" w:hAnsi="Times New Roman" w:cs="Times New Roman"/>
        </w:rPr>
      </w:pPr>
    </w:p>
    <w:p w:rsidR="00DB6D01" w:rsidRPr="00683D46" w:rsidRDefault="00683D46" w:rsidP="00683D4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683D46">
        <w:rPr>
          <w:rFonts w:ascii="Times New Roman" w:hAnsi="Times New Roman" w:cs="Times New Roman"/>
        </w:rPr>
        <w:t>’une de ces deux peines</w:t>
      </w:r>
    </w:p>
    <w:sectPr w:rsidR="00DB6D01" w:rsidRPr="00683D46" w:rsidSect="004517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96" w:rsidRDefault="00237596" w:rsidP="007E4FB1">
      <w:pPr>
        <w:spacing w:after="0" w:line="240" w:lineRule="auto"/>
      </w:pPr>
      <w:r>
        <w:separator/>
      </w:r>
    </w:p>
  </w:endnote>
  <w:endnote w:type="continuationSeparator" w:id="0">
    <w:p w:rsidR="00237596" w:rsidRDefault="00237596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D2181A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683D46">
            <w:rPr>
              <w:noProof/>
              <w:color w:val="262626" w:themeColor="text1" w:themeTint="D9"/>
            </w:rPr>
            <w:t>4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96" w:rsidRDefault="00237596" w:rsidP="007E4FB1">
      <w:pPr>
        <w:spacing w:after="0" w:line="240" w:lineRule="auto"/>
      </w:pPr>
      <w:r>
        <w:separator/>
      </w:r>
    </w:p>
  </w:footnote>
  <w:footnote w:type="continuationSeparator" w:id="0">
    <w:p w:rsidR="00237596" w:rsidRDefault="00237596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40CD5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Code des sociétés commerciales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Livre premier– Dispositions communes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Titre premier – Dispositions générales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E85"/>
    <w:multiLevelType w:val="hybridMultilevel"/>
    <w:tmpl w:val="AD80B9DE"/>
    <w:lvl w:ilvl="0" w:tplc="8D8CC052">
      <w:start w:val="1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E15F1"/>
    <w:multiLevelType w:val="hybridMultilevel"/>
    <w:tmpl w:val="C05ABE64"/>
    <w:lvl w:ilvl="0" w:tplc="DF229FE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A6032"/>
    <w:multiLevelType w:val="hybridMultilevel"/>
    <w:tmpl w:val="B73E4CB2"/>
    <w:lvl w:ilvl="0" w:tplc="3AEE42A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0930F5"/>
    <w:rsid w:val="0011459F"/>
    <w:rsid w:val="00142275"/>
    <w:rsid w:val="00191B12"/>
    <w:rsid w:val="00237596"/>
    <w:rsid w:val="00240A34"/>
    <w:rsid w:val="00273DBB"/>
    <w:rsid w:val="00401C17"/>
    <w:rsid w:val="0045171B"/>
    <w:rsid w:val="005332BE"/>
    <w:rsid w:val="00616E68"/>
    <w:rsid w:val="00683D46"/>
    <w:rsid w:val="006A53B6"/>
    <w:rsid w:val="006E0275"/>
    <w:rsid w:val="00740CD5"/>
    <w:rsid w:val="00752562"/>
    <w:rsid w:val="007E4FB1"/>
    <w:rsid w:val="008653AF"/>
    <w:rsid w:val="00A3424D"/>
    <w:rsid w:val="00A45CE6"/>
    <w:rsid w:val="00AA7533"/>
    <w:rsid w:val="00C04B85"/>
    <w:rsid w:val="00CB0B92"/>
    <w:rsid w:val="00D2181A"/>
    <w:rsid w:val="00D736F1"/>
    <w:rsid w:val="00DC6AA0"/>
    <w:rsid w:val="00DF3D25"/>
    <w:rsid w:val="00E86F7D"/>
    <w:rsid w:val="00EF1C5A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3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322ACA"/>
    <w:rsid w:val="0038541B"/>
    <w:rsid w:val="009C08A6"/>
    <w:rsid w:val="009F599A"/>
    <w:rsid w:val="00B91C05"/>
    <w:rsid w:val="00D7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des sociétés commerciales                                                                                                                             Livre premier– Dispositions communes                                                                </vt:lpstr>
    </vt:vector>
  </TitlesOfParts>
  <Company>.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des sociétés commerciales                                                                                                                             Livre premier– Dispositions communes                                                                            Titre premier – Dispositions générales</dc:title>
  <dc:subject/>
  <dc:creator>.</dc:creator>
  <cp:keywords/>
  <dc:description/>
  <cp:lastModifiedBy>ZIED</cp:lastModifiedBy>
  <cp:revision>18</cp:revision>
  <dcterms:created xsi:type="dcterms:W3CDTF">2012-02-08T16:21:00Z</dcterms:created>
  <dcterms:modified xsi:type="dcterms:W3CDTF">2012-03-08T09:37:00Z</dcterms:modified>
</cp:coreProperties>
</file>