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26" w:rsidRDefault="00311C26" w:rsidP="00311C26">
      <w:pPr>
        <w:tabs>
          <w:tab w:val="left" w:pos="38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Dispositions pénales liées à la liquidation</w:t>
      </w:r>
    </w:p>
    <w:p w:rsidR="00311C26" w:rsidRDefault="00311C26" w:rsidP="00311C26">
      <w:pPr>
        <w:tabs>
          <w:tab w:val="left" w:pos="38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11C26" w:rsidRDefault="00311C26" w:rsidP="00311C26">
      <w:pPr>
        <w:tabs>
          <w:tab w:val="left" w:pos="38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60BF" w:rsidRDefault="00CD60BF" w:rsidP="00311C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11C26">
        <w:rPr>
          <w:rFonts w:ascii="Times New Roman" w:hAnsi="Times New Roman" w:cs="Times New Roman"/>
          <w:b/>
          <w:bCs/>
        </w:rPr>
        <w:t>Article 49</w:t>
      </w:r>
      <w:r w:rsidR="00311C26">
        <w:rPr>
          <w:rFonts w:ascii="Times New Roman" w:hAnsi="Times New Roman" w:cs="Times New Roman"/>
          <w:b/>
          <w:bCs/>
        </w:rPr>
        <w:t xml:space="preserve">  </w:t>
      </w:r>
    </w:p>
    <w:p w:rsidR="00311C26" w:rsidRPr="00311C26" w:rsidRDefault="00311C26" w:rsidP="00311C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60BF" w:rsidRPr="00311C26" w:rsidRDefault="006D3A2B" w:rsidP="006D3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D60BF" w:rsidRPr="00311C26">
        <w:rPr>
          <w:rFonts w:ascii="Times New Roman" w:hAnsi="Times New Roman" w:cs="Times New Roman"/>
        </w:rPr>
        <w:t>e liquidateur qui :</w:t>
      </w:r>
    </w:p>
    <w:p w:rsidR="006D3A2B" w:rsidRDefault="00CD60BF" w:rsidP="006D3A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D3A2B">
        <w:rPr>
          <w:rFonts w:ascii="Times New Roman" w:hAnsi="Times New Roman" w:cs="Times New Roman"/>
        </w:rPr>
        <w:t xml:space="preserve">n’aura pas, dans les </w:t>
      </w:r>
      <w:r w:rsidRPr="006D3A2B">
        <w:rPr>
          <w:rFonts w:ascii="Times New Roman" w:hAnsi="Times New Roman" w:cs="Times New Roman"/>
          <w:b/>
        </w:rPr>
        <w:t>30 jours</w:t>
      </w:r>
      <w:r w:rsidRPr="006D3A2B">
        <w:rPr>
          <w:rFonts w:ascii="Times New Roman" w:hAnsi="Times New Roman" w:cs="Times New Roman"/>
        </w:rPr>
        <w:t xml:space="preserve"> de la connaissance de sa nomination, </w:t>
      </w:r>
      <w:proofErr w:type="gramStart"/>
      <w:r w:rsidRPr="006D3A2B">
        <w:rPr>
          <w:rFonts w:ascii="Times New Roman" w:hAnsi="Times New Roman" w:cs="Times New Roman"/>
        </w:rPr>
        <w:t>procédé</w:t>
      </w:r>
      <w:proofErr w:type="gramEnd"/>
      <w:r w:rsidRPr="006D3A2B">
        <w:rPr>
          <w:rFonts w:ascii="Times New Roman" w:hAnsi="Times New Roman" w:cs="Times New Roman"/>
        </w:rPr>
        <w:t xml:space="preserve"> à l’inscription au registre du</w:t>
      </w:r>
      <w:r w:rsidR="002C7C73" w:rsidRPr="006D3A2B">
        <w:rPr>
          <w:rFonts w:ascii="Times New Roman" w:hAnsi="Times New Roman" w:cs="Times New Roman"/>
        </w:rPr>
        <w:t xml:space="preserve"> </w:t>
      </w:r>
      <w:r w:rsidRPr="006D3A2B">
        <w:rPr>
          <w:rFonts w:ascii="Times New Roman" w:hAnsi="Times New Roman" w:cs="Times New Roman"/>
        </w:rPr>
        <w:t>commerce de la décision de dissolution de la société et de sa nomination.</w:t>
      </w:r>
    </w:p>
    <w:p w:rsidR="006D3A2B" w:rsidRPr="006D3A2B" w:rsidRDefault="006D3A2B" w:rsidP="006D3A2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6D3A2B" w:rsidRDefault="00CD60BF" w:rsidP="006D3A2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6D3A2B">
        <w:rPr>
          <w:rFonts w:ascii="Times New Roman" w:hAnsi="Times New Roman" w:cs="Times New Roman"/>
        </w:rPr>
        <w:t xml:space="preserve">2) </w:t>
      </w:r>
      <w:r w:rsidR="006D3A2B">
        <w:rPr>
          <w:rFonts w:ascii="Times New Roman" w:hAnsi="Times New Roman" w:cs="Times New Roman"/>
        </w:rPr>
        <w:tab/>
      </w:r>
      <w:r w:rsidRPr="006D3A2B">
        <w:rPr>
          <w:rFonts w:ascii="Times New Roman" w:hAnsi="Times New Roman" w:cs="Times New Roman"/>
        </w:rPr>
        <w:t>n’aura pas convoqué les associés pour statuer sur le compte définitif de la société et sur le quitus de sa</w:t>
      </w:r>
      <w:r w:rsidR="002C7C73" w:rsidRPr="006D3A2B">
        <w:rPr>
          <w:rFonts w:ascii="Times New Roman" w:hAnsi="Times New Roman" w:cs="Times New Roman"/>
        </w:rPr>
        <w:t xml:space="preserve"> </w:t>
      </w:r>
      <w:r w:rsidRPr="006D3A2B">
        <w:rPr>
          <w:rFonts w:ascii="Times New Roman" w:hAnsi="Times New Roman" w:cs="Times New Roman"/>
        </w:rPr>
        <w:t>gestion lors de la clôture de la liquidation ou n’aura pas demandé au tribunal l’approbation prévue à l’article</w:t>
      </w:r>
      <w:r w:rsidR="006D3A2B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45 du présent code.</w:t>
      </w:r>
    </w:p>
    <w:p w:rsidR="006D3A2B" w:rsidRDefault="006D3A2B" w:rsidP="006D3A2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CD60BF" w:rsidRPr="00311C26" w:rsidRDefault="00CD60BF" w:rsidP="006D3A2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</w:rPr>
        <w:t xml:space="preserve">3) </w:t>
      </w:r>
      <w:r w:rsidR="006D3A2B">
        <w:rPr>
          <w:rFonts w:ascii="Times New Roman" w:hAnsi="Times New Roman" w:cs="Times New Roman"/>
        </w:rPr>
        <w:tab/>
      </w:r>
      <w:r w:rsidRPr="00311C26">
        <w:rPr>
          <w:rFonts w:ascii="Times New Roman" w:hAnsi="Times New Roman" w:cs="Times New Roman"/>
        </w:rPr>
        <w:t>aura contrevenu aux dispositions des articles 36, 40, 43 et 44 et à l’article 46, à l’exception de l’obligation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 xml:space="preserve">de consignation prévue in fine dudit article, ou aura violé les dispositions de l’article 47 du présent code. </w:t>
      </w:r>
      <w:r w:rsidRPr="00311C26">
        <w:rPr>
          <w:rFonts w:ascii="Times New Roman" w:hAnsi="Times New Roman" w:cs="Times New Roman"/>
          <w:i/>
          <w:iCs/>
        </w:rPr>
        <w:t>(Loi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  <w:i/>
          <w:iCs/>
        </w:rPr>
        <w:t>n° 2005-65 du 27 juillet 2005, art.2)</w:t>
      </w: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311C26" w:rsidRPr="006D3A2B" w:rsidRDefault="006D3A2B" w:rsidP="006D3A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311C26">
        <w:rPr>
          <w:rFonts w:ascii="Times New Roman" w:hAnsi="Times New Roman" w:cs="Times New Roman"/>
        </w:rPr>
        <w:t xml:space="preserve">Est puni d’une peine d’emprisonnement </w:t>
      </w:r>
      <w:r w:rsidRPr="000838B2">
        <w:rPr>
          <w:rFonts w:ascii="Times New Roman" w:hAnsi="Times New Roman" w:cs="Times New Roman"/>
          <w:b/>
          <w:u w:val="single"/>
        </w:rPr>
        <w:t>de un à six mois</w:t>
      </w:r>
      <w:r w:rsidRPr="00311C26">
        <w:rPr>
          <w:rFonts w:ascii="Times New Roman" w:hAnsi="Times New Roman" w:cs="Times New Roman"/>
        </w:rPr>
        <w:t xml:space="preserve"> et d’une amende </w:t>
      </w:r>
      <w:r w:rsidRPr="000838B2">
        <w:rPr>
          <w:rFonts w:ascii="Times New Roman" w:hAnsi="Times New Roman" w:cs="Times New Roman"/>
          <w:b/>
          <w:u w:val="single"/>
        </w:rPr>
        <w:t>de trois cents dinars à mille dinars</w:t>
      </w:r>
      <w:r w:rsidRPr="000838B2">
        <w:rPr>
          <w:rFonts w:ascii="Times New Roman" w:hAnsi="Times New Roman" w:cs="Times New Roman"/>
          <w:u w:val="single"/>
        </w:rPr>
        <w:t>.</w:t>
      </w: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50</w:t>
      </w:r>
    </w:p>
    <w:p w:rsidR="00CD60BF" w:rsidRDefault="00CD60BF" w:rsidP="00311C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311C2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11C26">
        <w:rPr>
          <w:rFonts w:ascii="Times New Roman" w:hAnsi="Times New Roman" w:cs="Times New Roman"/>
          <w:i/>
          <w:iCs/>
        </w:rPr>
        <w:t>(Loi n°2005-65 du 27 juillet 2005, art.1er)</w:t>
      </w:r>
    </w:p>
    <w:p w:rsidR="00311C26" w:rsidRPr="00311C26" w:rsidRDefault="00311C26" w:rsidP="00311C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CD60BF" w:rsidRPr="00311C26" w:rsidRDefault="00CD60BF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</w:rPr>
        <w:t>Est puni des peines prévues à l’article 297 du code pénal, le liquidateur qui n’a pas déposé à la caisse des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 xml:space="preserve">dépôts et des consignations, dans un délai </w:t>
      </w:r>
      <w:r w:rsidRPr="000838B2">
        <w:rPr>
          <w:rFonts w:ascii="Times New Roman" w:hAnsi="Times New Roman" w:cs="Times New Roman"/>
          <w:b/>
          <w:u w:val="single"/>
        </w:rPr>
        <w:t>d’un mois</w:t>
      </w:r>
      <w:r w:rsidRPr="00311C26">
        <w:rPr>
          <w:rFonts w:ascii="Times New Roman" w:hAnsi="Times New Roman" w:cs="Times New Roman"/>
        </w:rPr>
        <w:t xml:space="preserve"> à compter de la clôture des opérations de liquidation, les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sommes revenant aux associés et créanciers et qu’ils n’ont pas réclamées.</w:t>
      </w: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D60BF" w:rsidRDefault="00CD60BF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11C26">
        <w:rPr>
          <w:rFonts w:ascii="Times New Roman" w:hAnsi="Times New Roman" w:cs="Times New Roman"/>
          <w:b/>
          <w:bCs/>
        </w:rPr>
        <w:t>Article 51</w:t>
      </w:r>
    </w:p>
    <w:p w:rsidR="000838B2" w:rsidRPr="00311C26" w:rsidRDefault="000838B2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D60BF" w:rsidRPr="00311C26" w:rsidRDefault="00CD60BF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</w:rPr>
        <w:t xml:space="preserve">Est puni d’une peine d’emprisonnement </w:t>
      </w:r>
      <w:r w:rsidRPr="000838B2">
        <w:rPr>
          <w:rFonts w:ascii="Times New Roman" w:hAnsi="Times New Roman" w:cs="Times New Roman"/>
          <w:b/>
          <w:u w:val="single"/>
        </w:rPr>
        <w:t>de un à trois ans</w:t>
      </w:r>
      <w:r w:rsidRPr="00311C26">
        <w:rPr>
          <w:rFonts w:ascii="Times New Roman" w:hAnsi="Times New Roman" w:cs="Times New Roman"/>
        </w:rPr>
        <w:t xml:space="preserve"> et d’une amende </w:t>
      </w:r>
      <w:r w:rsidRPr="000838B2">
        <w:rPr>
          <w:rFonts w:ascii="Times New Roman" w:hAnsi="Times New Roman" w:cs="Times New Roman"/>
          <w:b/>
          <w:u w:val="single"/>
        </w:rPr>
        <w:t>de trois cent dinars à trois mille</w:t>
      </w:r>
      <w:r w:rsidR="002C7C73" w:rsidRPr="000838B2">
        <w:rPr>
          <w:rFonts w:ascii="Times New Roman" w:hAnsi="Times New Roman" w:cs="Times New Roman"/>
          <w:b/>
          <w:u w:val="single"/>
        </w:rPr>
        <w:t xml:space="preserve"> </w:t>
      </w:r>
      <w:r w:rsidRPr="000838B2">
        <w:rPr>
          <w:rFonts w:ascii="Times New Roman" w:hAnsi="Times New Roman" w:cs="Times New Roman"/>
          <w:b/>
          <w:u w:val="single"/>
        </w:rPr>
        <w:t>dinars</w:t>
      </w:r>
      <w:r w:rsidRPr="00311C26">
        <w:rPr>
          <w:rFonts w:ascii="Times New Roman" w:hAnsi="Times New Roman" w:cs="Times New Roman"/>
        </w:rPr>
        <w:t xml:space="preserve"> le liquidateur qui aura exploité la réputation de la société en liquidation ou aura fait sciemment des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biens de ladite société un usage contraire à son intérêt, à des fins personnelles ou en vue de favoriser une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entreprise ou une société à laquelle il était intéressé, soit directement soit indirectement ou par une personne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interposée.</w:t>
      </w: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60BF" w:rsidRDefault="00CD60BF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11C26">
        <w:rPr>
          <w:rFonts w:ascii="Times New Roman" w:hAnsi="Times New Roman" w:cs="Times New Roman"/>
          <w:b/>
          <w:bCs/>
        </w:rPr>
        <w:t>Article 52</w:t>
      </w:r>
    </w:p>
    <w:p w:rsidR="006D3A2B" w:rsidRPr="00311C26" w:rsidRDefault="006D3A2B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D60BF" w:rsidRPr="00311C26" w:rsidRDefault="00CD60BF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</w:rPr>
        <w:t>Est puni d’une peine d’emprisonnement de un mois à deux ans et d’une amende de trois cents à trois mille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dinars, le liquidateur qui a cédé tout ou partie de l’actif de la société en liquidation en violation des dispositions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des articles 34 et 35 du présent code.</w:t>
      </w: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6D3A2B" w:rsidRDefault="006D3A2B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311C26" w:rsidRDefault="00311C26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D60BF" w:rsidRDefault="00CD60BF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  <w:b/>
          <w:bCs/>
        </w:rPr>
        <w:t>Article 53</w:t>
      </w:r>
    </w:p>
    <w:p w:rsidR="006D3A2B" w:rsidRPr="00311C26" w:rsidRDefault="006D3A2B" w:rsidP="006D3A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B6D01" w:rsidRPr="00311C26" w:rsidRDefault="00CD60BF" w:rsidP="00311C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1C26">
        <w:rPr>
          <w:rFonts w:ascii="Times New Roman" w:hAnsi="Times New Roman" w:cs="Times New Roman"/>
        </w:rPr>
        <w:t>Les peines prévues par les articles 49 à 52 du présent code, n’excluent pas l’application de peines plus sévères</w:t>
      </w:r>
      <w:r w:rsidR="002C7C73" w:rsidRPr="00311C26">
        <w:rPr>
          <w:rFonts w:ascii="Times New Roman" w:hAnsi="Times New Roman" w:cs="Times New Roman"/>
        </w:rPr>
        <w:t xml:space="preserve"> </w:t>
      </w:r>
      <w:r w:rsidRPr="00311C26">
        <w:rPr>
          <w:rFonts w:ascii="Times New Roman" w:hAnsi="Times New Roman" w:cs="Times New Roman"/>
        </w:rPr>
        <w:t>prévues par d’autres lois incriminant les mêmes faits.</w:t>
      </w:r>
    </w:p>
    <w:sectPr w:rsidR="00DB6D01" w:rsidRPr="00311C26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1D" w:rsidRDefault="007E0B1D" w:rsidP="007E4FB1">
      <w:pPr>
        <w:spacing w:after="0" w:line="240" w:lineRule="auto"/>
      </w:pPr>
      <w:r>
        <w:separator/>
      </w:r>
    </w:p>
  </w:endnote>
  <w:endnote w:type="continuationSeparator" w:id="0">
    <w:p w:rsidR="007E0B1D" w:rsidRDefault="007E0B1D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2821E4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0838B2">
            <w:rPr>
              <w:noProof/>
              <w:color w:val="262626" w:themeColor="text1" w:themeTint="D9"/>
            </w:rPr>
            <w:t>2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1D" w:rsidRDefault="007E0B1D" w:rsidP="007E4FB1">
      <w:pPr>
        <w:spacing w:after="0" w:line="240" w:lineRule="auto"/>
      </w:pPr>
      <w:r>
        <w:separator/>
      </w:r>
    </w:p>
  </w:footnote>
  <w:footnote w:type="continuationSeparator" w:id="0">
    <w:p w:rsidR="007E0B1D" w:rsidRDefault="007E0B1D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 w:rsidP="00CD60BF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</w:t>
              </w:r>
              <w:r w:rsidR="00CD60BF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Titre trois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– </w:t>
              </w:r>
              <w:r w:rsidR="00CD60BF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Dissolutions des sociétés                                                                     Sous titre trois – Dispositions pénales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AF0"/>
    <w:multiLevelType w:val="hybridMultilevel"/>
    <w:tmpl w:val="1C94C2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61F2"/>
    <w:multiLevelType w:val="hybridMultilevel"/>
    <w:tmpl w:val="B15EE8F6"/>
    <w:lvl w:ilvl="0" w:tplc="77A8D5EE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838B2"/>
    <w:rsid w:val="00240A34"/>
    <w:rsid w:val="002821E4"/>
    <w:rsid w:val="002C7C73"/>
    <w:rsid w:val="00311C26"/>
    <w:rsid w:val="00401C17"/>
    <w:rsid w:val="004358AB"/>
    <w:rsid w:val="0045171B"/>
    <w:rsid w:val="00616E68"/>
    <w:rsid w:val="006A53B6"/>
    <w:rsid w:val="006D3A2B"/>
    <w:rsid w:val="006E0275"/>
    <w:rsid w:val="00740CD5"/>
    <w:rsid w:val="007E0B1D"/>
    <w:rsid w:val="007E4FB1"/>
    <w:rsid w:val="00AA7533"/>
    <w:rsid w:val="00CD60BF"/>
    <w:rsid w:val="00D736F1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3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1E3B3A"/>
    <w:rsid w:val="00322ACA"/>
    <w:rsid w:val="0038541B"/>
    <w:rsid w:val="009F599A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trois  – Dissolutions des sociétés                                                                     Sous titre trois – Dispositions pénales</dc:title>
  <dc:subject/>
  <dc:creator>.</dc:creator>
  <cp:keywords/>
  <dc:description/>
  <cp:lastModifiedBy>ZIED</cp:lastModifiedBy>
  <cp:revision>9</cp:revision>
  <dcterms:created xsi:type="dcterms:W3CDTF">2012-02-08T16:21:00Z</dcterms:created>
  <dcterms:modified xsi:type="dcterms:W3CDTF">2012-03-15T15:02:00Z</dcterms:modified>
</cp:coreProperties>
</file>