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E2A" w:rsidRDefault="00180E2A" w:rsidP="00180E2A">
      <w:pPr>
        <w:autoSpaceDE w:val="0"/>
        <w:autoSpaceDN w:val="0"/>
        <w:adjustRightInd w:val="0"/>
        <w:spacing w:after="0"/>
        <w:jc w:val="center"/>
        <w:rPr>
          <w:rFonts w:ascii="Times New Roman" w:hAnsi="Times New Roman" w:cs="Times New Roman"/>
          <w:b/>
          <w:bCs/>
          <w:i/>
          <w:iCs/>
        </w:rPr>
      </w:pPr>
      <w:r w:rsidRPr="009C5C8A">
        <w:rPr>
          <w:rFonts w:ascii="Times New Roman" w:hAnsi="Times New Roman" w:cs="Times New Roman"/>
          <w:b/>
          <w:bCs/>
        </w:rPr>
        <w:t>Article 45</w:t>
      </w:r>
      <w:r>
        <w:rPr>
          <w:rFonts w:ascii="Times New Roman" w:hAnsi="Times New Roman" w:cs="Times New Roman"/>
          <w:b/>
          <w:bCs/>
        </w:rPr>
        <w:t>: Défaut d’approbation des comptes et clôtures de la liquidation</w:t>
      </w:r>
    </w:p>
    <w:p w:rsidR="00180E2A" w:rsidRDefault="00180E2A" w:rsidP="00180E2A">
      <w:pPr>
        <w:autoSpaceDE w:val="0"/>
        <w:autoSpaceDN w:val="0"/>
        <w:adjustRightInd w:val="0"/>
        <w:spacing w:after="0"/>
        <w:jc w:val="center"/>
        <w:rPr>
          <w:rFonts w:ascii="Times New Roman" w:hAnsi="Times New Roman" w:cs="Times New Roman"/>
          <w:i/>
          <w:iCs/>
        </w:rPr>
      </w:pPr>
      <w:r w:rsidRPr="005F2545">
        <w:rPr>
          <w:rFonts w:ascii="Times New Roman" w:hAnsi="Times New Roman" w:cs="Times New Roman"/>
          <w:i/>
          <w:iCs/>
        </w:rPr>
        <w:t>(Loi n°2005-65 du 27 juillet 2005, art.1er)</w:t>
      </w:r>
    </w:p>
    <w:p w:rsidR="00180E2A" w:rsidRPr="005F2545" w:rsidRDefault="00180E2A" w:rsidP="00180E2A">
      <w:pPr>
        <w:autoSpaceDE w:val="0"/>
        <w:autoSpaceDN w:val="0"/>
        <w:adjustRightInd w:val="0"/>
        <w:spacing w:after="0"/>
        <w:rPr>
          <w:rFonts w:ascii="Times New Roman" w:hAnsi="Times New Roman" w:cs="Times New Roman"/>
          <w:i/>
          <w:iCs/>
        </w:rPr>
      </w:pPr>
    </w:p>
    <w:p w:rsidR="00180E2A" w:rsidRPr="005038E5" w:rsidRDefault="00180E2A" w:rsidP="00180E2A">
      <w:pPr>
        <w:pStyle w:val="Paragraphedeliste"/>
        <w:numPr>
          <w:ilvl w:val="0"/>
          <w:numId w:val="3"/>
        </w:numPr>
        <w:autoSpaceDE w:val="0"/>
        <w:autoSpaceDN w:val="0"/>
        <w:adjustRightInd w:val="0"/>
        <w:spacing w:after="0" w:line="360" w:lineRule="auto"/>
        <w:rPr>
          <w:rFonts w:ascii="Times New Roman" w:hAnsi="Times New Roman" w:cs="Times New Roman"/>
          <w:u w:val="single"/>
        </w:rPr>
      </w:pPr>
      <w:r w:rsidRPr="005038E5">
        <w:rPr>
          <w:rFonts w:ascii="Times New Roman" w:hAnsi="Times New Roman" w:cs="Times New Roman"/>
        </w:rPr>
        <w:t xml:space="preserve">Au cas où l’AG ne se réunit pas pour délibérer sur les questions prévues à l’article 37 du présent code dans un délai de </w:t>
      </w:r>
      <w:r w:rsidRPr="005038E5">
        <w:rPr>
          <w:rFonts w:ascii="Times New Roman" w:hAnsi="Times New Roman" w:cs="Times New Roman"/>
          <w:b/>
          <w:u w:val="single"/>
        </w:rPr>
        <w:t>deux mois</w:t>
      </w:r>
      <w:r w:rsidRPr="005038E5">
        <w:rPr>
          <w:rFonts w:ascii="Times New Roman" w:hAnsi="Times New Roman" w:cs="Times New Roman"/>
        </w:rPr>
        <w:t xml:space="preserve"> à compter de la clôture</w:t>
      </w:r>
      <w:r>
        <w:rPr>
          <w:rFonts w:ascii="Times New Roman" w:hAnsi="Times New Roman" w:cs="Times New Roman"/>
        </w:rPr>
        <w:t xml:space="preserve"> des opérations de liquidation,</w:t>
      </w:r>
    </w:p>
    <w:p w:rsidR="00180E2A" w:rsidRPr="005038E5" w:rsidRDefault="00180E2A" w:rsidP="00180E2A">
      <w:pPr>
        <w:pStyle w:val="Paragraphedeliste"/>
        <w:numPr>
          <w:ilvl w:val="0"/>
          <w:numId w:val="3"/>
        </w:numPr>
        <w:autoSpaceDE w:val="0"/>
        <w:autoSpaceDN w:val="0"/>
        <w:adjustRightInd w:val="0"/>
        <w:spacing w:after="0" w:line="360" w:lineRule="auto"/>
        <w:rPr>
          <w:rFonts w:ascii="Times New Roman" w:hAnsi="Times New Roman" w:cs="Times New Roman"/>
          <w:u w:val="single"/>
        </w:rPr>
      </w:pPr>
      <w:r w:rsidRPr="005038E5">
        <w:rPr>
          <w:rFonts w:ascii="Times New Roman" w:hAnsi="Times New Roman" w:cs="Times New Roman"/>
        </w:rPr>
        <w:t xml:space="preserve">ou si elle refuse d’approuver le compte définitif de la liquidation  </w:t>
      </w:r>
    </w:p>
    <w:p w:rsidR="00180E2A" w:rsidRPr="005038E5" w:rsidRDefault="00180E2A" w:rsidP="00180E2A">
      <w:pPr>
        <w:pStyle w:val="Paragraphedeliste"/>
        <w:autoSpaceDE w:val="0"/>
        <w:autoSpaceDN w:val="0"/>
        <w:adjustRightInd w:val="0"/>
        <w:spacing w:after="0"/>
        <w:rPr>
          <w:rFonts w:ascii="Times New Roman" w:hAnsi="Times New Roman" w:cs="Times New Roman"/>
          <w:u w:val="single"/>
        </w:rPr>
      </w:pPr>
    </w:p>
    <w:p w:rsidR="00180E2A" w:rsidRPr="005038E5" w:rsidRDefault="00180E2A" w:rsidP="00180E2A">
      <w:pPr>
        <w:pStyle w:val="Paragraphedeliste"/>
        <w:autoSpaceDE w:val="0"/>
        <w:autoSpaceDN w:val="0"/>
        <w:adjustRightInd w:val="0"/>
        <w:spacing w:after="0"/>
        <w:rPr>
          <w:rFonts w:ascii="Times New Roman" w:hAnsi="Times New Roman" w:cs="Times New Roman"/>
          <w:u w:val="single"/>
        </w:rPr>
      </w:pPr>
      <w:r w:rsidRPr="005038E5">
        <w:rPr>
          <w:rFonts w:ascii="Times New Roman" w:hAnsi="Times New Roman" w:cs="Times New Roman"/>
        </w:rPr>
        <w:t xml:space="preserve">  </w:t>
      </w:r>
      <w:r w:rsidRPr="00902607">
        <w:sym w:font="Wingdings" w:char="F0E8"/>
      </w:r>
      <w:r w:rsidRPr="005038E5">
        <w:rPr>
          <w:rFonts w:ascii="Times New Roman" w:hAnsi="Times New Roman" w:cs="Times New Roman"/>
        </w:rPr>
        <w:t xml:space="preserve">   Le liquidateur </w:t>
      </w:r>
      <w:r w:rsidRPr="005038E5">
        <w:rPr>
          <w:rFonts w:ascii="Times New Roman" w:hAnsi="Times New Roman" w:cs="Times New Roman"/>
          <w:u w:val="single"/>
        </w:rPr>
        <w:t xml:space="preserve">doit recourir au tribunal compétent afin d’obtenir une décision approuvant ledit compte. </w:t>
      </w:r>
    </w:p>
    <w:p w:rsidR="00180E2A" w:rsidRDefault="00180E2A" w:rsidP="00180E2A">
      <w:pPr>
        <w:autoSpaceDE w:val="0"/>
        <w:autoSpaceDN w:val="0"/>
        <w:adjustRightInd w:val="0"/>
        <w:spacing w:after="0"/>
        <w:rPr>
          <w:rFonts w:ascii="Times New Roman" w:hAnsi="Times New Roman" w:cs="Times New Roman"/>
        </w:rPr>
      </w:pPr>
    </w:p>
    <w:p w:rsidR="00180E2A" w:rsidRDefault="00180E2A" w:rsidP="00180E2A">
      <w:pPr>
        <w:autoSpaceDE w:val="0"/>
        <w:autoSpaceDN w:val="0"/>
        <w:adjustRightInd w:val="0"/>
        <w:spacing w:after="0"/>
        <w:rPr>
          <w:rFonts w:ascii="Times New Roman" w:hAnsi="Times New Roman" w:cs="Times New Roman"/>
        </w:rPr>
      </w:pPr>
    </w:p>
    <w:p w:rsidR="00180E2A" w:rsidRPr="005F2545" w:rsidRDefault="00180E2A" w:rsidP="00180E2A">
      <w:pPr>
        <w:autoSpaceDE w:val="0"/>
        <w:autoSpaceDN w:val="0"/>
        <w:adjustRightInd w:val="0"/>
        <w:spacing w:after="0"/>
        <w:rPr>
          <w:rFonts w:ascii="Times New Roman" w:hAnsi="Times New Roman" w:cs="Times New Roman"/>
        </w:rPr>
      </w:pPr>
      <w:r w:rsidRPr="005F2545">
        <w:rPr>
          <w:rFonts w:ascii="Times New Roman" w:hAnsi="Times New Roman" w:cs="Times New Roman"/>
        </w:rPr>
        <w:t>Tout intéressé peut, également, engager la même procédure.</w:t>
      </w:r>
    </w:p>
    <w:p w:rsidR="00180E2A" w:rsidRDefault="00180E2A" w:rsidP="00180E2A">
      <w:pPr>
        <w:autoSpaceDE w:val="0"/>
        <w:autoSpaceDN w:val="0"/>
        <w:adjustRightInd w:val="0"/>
        <w:spacing w:after="0"/>
        <w:rPr>
          <w:rFonts w:ascii="Times New Roman" w:hAnsi="Times New Roman" w:cs="Times New Roman"/>
        </w:rPr>
      </w:pPr>
    </w:p>
    <w:p w:rsidR="00180E2A" w:rsidRDefault="00180E2A" w:rsidP="00180E2A">
      <w:pPr>
        <w:autoSpaceDE w:val="0"/>
        <w:autoSpaceDN w:val="0"/>
        <w:adjustRightInd w:val="0"/>
        <w:spacing w:after="0"/>
        <w:rPr>
          <w:rFonts w:ascii="Times New Roman" w:hAnsi="Times New Roman" w:cs="Times New Roman"/>
        </w:rPr>
      </w:pPr>
      <w:r w:rsidRPr="005F2545">
        <w:rPr>
          <w:rFonts w:ascii="Times New Roman" w:hAnsi="Times New Roman" w:cs="Times New Roman"/>
        </w:rPr>
        <w:t xml:space="preserve">La décision d’approbation du compte définitif de la liquidation ne sera opposable aux tiers qu’à partir du jour suivant sa publication au </w:t>
      </w:r>
      <w:r>
        <w:rPr>
          <w:rFonts w:ascii="Times New Roman" w:hAnsi="Times New Roman" w:cs="Times New Roman"/>
        </w:rPr>
        <w:t>JORT</w:t>
      </w:r>
      <w:r w:rsidRPr="005F2545">
        <w:rPr>
          <w:rFonts w:ascii="Times New Roman" w:hAnsi="Times New Roman" w:cs="Times New Roman"/>
        </w:rPr>
        <w:t>, et ce, après avoir été inscrite au registre de commerce.</w:t>
      </w:r>
    </w:p>
    <w:p w:rsidR="00381CF7" w:rsidRDefault="00381CF7" w:rsidP="00381CF7">
      <w:pPr>
        <w:autoSpaceDE w:val="0"/>
        <w:autoSpaceDN w:val="0"/>
        <w:adjustRightInd w:val="0"/>
        <w:spacing w:after="0"/>
        <w:rPr>
          <w:rFonts w:ascii="Times New Roman" w:hAnsi="Times New Roman" w:cs="Times New Roman"/>
          <w:b/>
          <w:bCs/>
        </w:rPr>
      </w:pPr>
    </w:p>
    <w:p w:rsidR="00180E2A" w:rsidRDefault="00180E2A" w:rsidP="00381CF7">
      <w:pPr>
        <w:autoSpaceDE w:val="0"/>
        <w:autoSpaceDN w:val="0"/>
        <w:adjustRightInd w:val="0"/>
        <w:spacing w:after="0"/>
        <w:jc w:val="center"/>
        <w:rPr>
          <w:rFonts w:ascii="Times New Roman" w:hAnsi="Times New Roman" w:cs="Times New Roman"/>
          <w:b/>
          <w:bCs/>
        </w:rPr>
      </w:pPr>
    </w:p>
    <w:p w:rsidR="00180E2A" w:rsidRDefault="00180E2A" w:rsidP="00381CF7">
      <w:pPr>
        <w:autoSpaceDE w:val="0"/>
        <w:autoSpaceDN w:val="0"/>
        <w:adjustRightInd w:val="0"/>
        <w:spacing w:after="0"/>
        <w:jc w:val="center"/>
        <w:rPr>
          <w:rFonts w:ascii="Times New Roman" w:hAnsi="Times New Roman" w:cs="Times New Roman"/>
          <w:b/>
          <w:bCs/>
        </w:rPr>
      </w:pPr>
    </w:p>
    <w:p w:rsidR="00180E2A" w:rsidRDefault="00180E2A" w:rsidP="00381CF7">
      <w:pPr>
        <w:autoSpaceDE w:val="0"/>
        <w:autoSpaceDN w:val="0"/>
        <w:adjustRightInd w:val="0"/>
        <w:spacing w:after="0"/>
        <w:jc w:val="center"/>
        <w:rPr>
          <w:rFonts w:ascii="Times New Roman" w:hAnsi="Times New Roman" w:cs="Times New Roman"/>
          <w:b/>
          <w:bCs/>
        </w:rPr>
      </w:pPr>
    </w:p>
    <w:p w:rsidR="00180E2A" w:rsidRDefault="00180E2A" w:rsidP="00381CF7">
      <w:pPr>
        <w:autoSpaceDE w:val="0"/>
        <w:autoSpaceDN w:val="0"/>
        <w:adjustRightInd w:val="0"/>
        <w:spacing w:after="0"/>
        <w:jc w:val="center"/>
        <w:rPr>
          <w:rFonts w:ascii="Times New Roman" w:hAnsi="Times New Roman" w:cs="Times New Roman"/>
          <w:b/>
          <w:bCs/>
        </w:rPr>
      </w:pPr>
    </w:p>
    <w:p w:rsidR="00180E2A" w:rsidRDefault="00180E2A" w:rsidP="00381CF7">
      <w:pPr>
        <w:autoSpaceDE w:val="0"/>
        <w:autoSpaceDN w:val="0"/>
        <w:adjustRightInd w:val="0"/>
        <w:spacing w:after="0"/>
        <w:jc w:val="center"/>
        <w:rPr>
          <w:rFonts w:ascii="Times New Roman" w:hAnsi="Times New Roman" w:cs="Times New Roman"/>
          <w:b/>
          <w:bCs/>
        </w:rPr>
      </w:pPr>
    </w:p>
    <w:p w:rsidR="00180E2A" w:rsidRDefault="00180E2A" w:rsidP="00381CF7">
      <w:pPr>
        <w:autoSpaceDE w:val="0"/>
        <w:autoSpaceDN w:val="0"/>
        <w:adjustRightInd w:val="0"/>
        <w:spacing w:after="0"/>
        <w:jc w:val="center"/>
        <w:rPr>
          <w:rFonts w:ascii="Times New Roman" w:hAnsi="Times New Roman" w:cs="Times New Roman"/>
          <w:b/>
          <w:bCs/>
        </w:rPr>
      </w:pPr>
    </w:p>
    <w:p w:rsidR="00180E2A" w:rsidRDefault="00180E2A" w:rsidP="00381CF7">
      <w:pPr>
        <w:autoSpaceDE w:val="0"/>
        <w:autoSpaceDN w:val="0"/>
        <w:adjustRightInd w:val="0"/>
        <w:spacing w:after="0"/>
        <w:jc w:val="center"/>
        <w:rPr>
          <w:rFonts w:ascii="Times New Roman" w:hAnsi="Times New Roman" w:cs="Times New Roman"/>
          <w:b/>
          <w:bCs/>
        </w:rPr>
      </w:pPr>
    </w:p>
    <w:p w:rsidR="00381CF7" w:rsidRDefault="00381CF7" w:rsidP="00381CF7">
      <w:pPr>
        <w:autoSpaceDE w:val="0"/>
        <w:autoSpaceDN w:val="0"/>
        <w:adjustRightInd w:val="0"/>
        <w:spacing w:after="0"/>
        <w:jc w:val="center"/>
        <w:rPr>
          <w:rFonts w:ascii="Times New Roman" w:hAnsi="Times New Roman" w:cs="Times New Roman"/>
        </w:rPr>
      </w:pPr>
      <w:r>
        <w:rPr>
          <w:rFonts w:ascii="Times New Roman" w:hAnsi="Times New Roman" w:cs="Times New Roman"/>
          <w:b/>
          <w:bCs/>
        </w:rPr>
        <w:t>Article 46 : La distribution</w:t>
      </w:r>
    </w:p>
    <w:p w:rsidR="00381CF7" w:rsidRDefault="00381CF7" w:rsidP="00381CF7">
      <w:pPr>
        <w:autoSpaceDE w:val="0"/>
        <w:autoSpaceDN w:val="0"/>
        <w:adjustRightInd w:val="0"/>
        <w:spacing w:after="0"/>
        <w:rPr>
          <w:rFonts w:ascii="Times New Roman" w:hAnsi="Times New Roman" w:cs="Times New Roman"/>
          <w:b/>
          <w:bCs/>
        </w:rPr>
      </w:pPr>
    </w:p>
    <w:p w:rsidR="00F65D72" w:rsidRPr="00F65D72" w:rsidRDefault="00381CF7" w:rsidP="00F65D72">
      <w:pPr>
        <w:pStyle w:val="Paragraphedeliste"/>
        <w:numPr>
          <w:ilvl w:val="0"/>
          <w:numId w:val="1"/>
        </w:numPr>
        <w:autoSpaceDE w:val="0"/>
        <w:autoSpaceDN w:val="0"/>
        <w:adjustRightInd w:val="0"/>
        <w:spacing w:after="0"/>
        <w:rPr>
          <w:rFonts w:ascii="Times New Roman" w:hAnsi="Times New Roman" w:cs="Times New Roman"/>
        </w:rPr>
      </w:pPr>
      <w:r w:rsidRPr="00F65D72">
        <w:rPr>
          <w:rFonts w:ascii="Times New Roman" w:hAnsi="Times New Roman" w:cs="Times New Roman"/>
        </w:rPr>
        <w:t xml:space="preserve">Le liquidateur procède à la distribution des fonds disponibles entre les créanciers </w:t>
      </w:r>
      <w:r w:rsidRPr="00F65D72">
        <w:rPr>
          <w:rFonts w:ascii="Times New Roman" w:hAnsi="Times New Roman" w:cs="Times New Roman"/>
          <w:u w:val="single"/>
        </w:rPr>
        <w:t>suivant leurs rangs.</w:t>
      </w:r>
      <w:r w:rsidRPr="00F65D72">
        <w:rPr>
          <w:rFonts w:ascii="Times New Roman" w:hAnsi="Times New Roman" w:cs="Times New Roman"/>
        </w:rPr>
        <w:t xml:space="preserve"> </w:t>
      </w:r>
    </w:p>
    <w:p w:rsidR="00F65D72" w:rsidRDefault="00F65D72" w:rsidP="00381CF7">
      <w:pPr>
        <w:autoSpaceDE w:val="0"/>
        <w:autoSpaceDN w:val="0"/>
        <w:adjustRightInd w:val="0"/>
        <w:spacing w:after="0"/>
        <w:rPr>
          <w:rFonts w:ascii="Times New Roman" w:hAnsi="Times New Roman" w:cs="Times New Roman"/>
        </w:rPr>
      </w:pPr>
    </w:p>
    <w:p w:rsidR="00F65D72" w:rsidRDefault="00381CF7" w:rsidP="00381CF7">
      <w:pPr>
        <w:autoSpaceDE w:val="0"/>
        <w:autoSpaceDN w:val="0"/>
        <w:adjustRightInd w:val="0"/>
        <w:spacing w:after="0"/>
        <w:rPr>
          <w:rFonts w:ascii="Times New Roman" w:hAnsi="Times New Roman" w:cs="Times New Roman"/>
        </w:rPr>
      </w:pPr>
      <w:r>
        <w:rPr>
          <w:rFonts w:ascii="Times New Roman" w:hAnsi="Times New Roman" w:cs="Times New Roman"/>
        </w:rPr>
        <w:t xml:space="preserve">Si ces derniers ont </w:t>
      </w:r>
      <w:r w:rsidRPr="00F65D72">
        <w:rPr>
          <w:rFonts w:ascii="Times New Roman" w:hAnsi="Times New Roman" w:cs="Times New Roman"/>
          <w:u w:val="single"/>
        </w:rPr>
        <w:t>le même rang</w:t>
      </w:r>
      <w:r>
        <w:rPr>
          <w:rFonts w:ascii="Times New Roman" w:hAnsi="Times New Roman" w:cs="Times New Roman"/>
        </w:rPr>
        <w:t xml:space="preserve"> et que le </w:t>
      </w:r>
      <w:r w:rsidRPr="00F65D72">
        <w:rPr>
          <w:rFonts w:ascii="Times New Roman" w:hAnsi="Times New Roman" w:cs="Times New Roman"/>
          <w:u w:val="single"/>
        </w:rPr>
        <w:t>produit de la liquidation est insuffisant</w:t>
      </w:r>
      <w:r>
        <w:rPr>
          <w:rFonts w:ascii="Times New Roman" w:hAnsi="Times New Roman" w:cs="Times New Roman"/>
        </w:rPr>
        <w:t xml:space="preserve"> pour payer la totalité de leurs créances, il sera procédé à sa distribution </w:t>
      </w:r>
      <w:r w:rsidRPr="00F65D72">
        <w:rPr>
          <w:rFonts w:ascii="Times New Roman" w:hAnsi="Times New Roman" w:cs="Times New Roman"/>
          <w:u w:val="single"/>
        </w:rPr>
        <w:t>par contribution proportionnellement</w:t>
      </w:r>
      <w:r>
        <w:rPr>
          <w:rFonts w:ascii="Times New Roman" w:hAnsi="Times New Roman" w:cs="Times New Roman"/>
        </w:rPr>
        <w:t xml:space="preserve"> à leurs créances ayant le même rang et les sommes leur revenant, et celui qui se subroge à un créancier privilégié, il s'en substitue dans tous ses droits. </w:t>
      </w:r>
    </w:p>
    <w:p w:rsidR="00F65D72" w:rsidRDefault="00F65D72" w:rsidP="00381CF7">
      <w:pPr>
        <w:autoSpaceDE w:val="0"/>
        <w:autoSpaceDN w:val="0"/>
        <w:adjustRightInd w:val="0"/>
        <w:spacing w:after="0"/>
        <w:rPr>
          <w:rFonts w:ascii="Times New Roman" w:hAnsi="Times New Roman" w:cs="Times New Roman"/>
        </w:rPr>
      </w:pPr>
    </w:p>
    <w:p w:rsidR="00F65D72" w:rsidRDefault="00F65D72" w:rsidP="00381CF7">
      <w:pPr>
        <w:autoSpaceDE w:val="0"/>
        <w:autoSpaceDN w:val="0"/>
        <w:adjustRightInd w:val="0"/>
        <w:spacing w:after="0"/>
        <w:rPr>
          <w:rFonts w:ascii="Times New Roman" w:hAnsi="Times New Roman" w:cs="Times New Roman"/>
        </w:rPr>
      </w:pPr>
    </w:p>
    <w:p w:rsidR="00381CF7" w:rsidRPr="00F65D72" w:rsidRDefault="00381CF7" w:rsidP="00F65D72">
      <w:pPr>
        <w:pStyle w:val="Paragraphedeliste"/>
        <w:numPr>
          <w:ilvl w:val="0"/>
          <w:numId w:val="1"/>
        </w:numPr>
        <w:autoSpaceDE w:val="0"/>
        <w:autoSpaceDN w:val="0"/>
        <w:adjustRightInd w:val="0"/>
        <w:spacing w:after="0"/>
        <w:rPr>
          <w:rFonts w:ascii="Times New Roman" w:hAnsi="Times New Roman" w:cs="Times New Roman"/>
        </w:rPr>
      </w:pPr>
      <w:r w:rsidRPr="00F65D72">
        <w:rPr>
          <w:rFonts w:ascii="Times New Roman" w:hAnsi="Times New Roman" w:cs="Times New Roman"/>
        </w:rPr>
        <w:t>Le liquidateur procède aussi à la distinction du reliquat du boni de liquidation aux associés après avoir préservé les droits des créanciers de la société et la consignation de la créance de ceux qui ne sont pas présents, et dont les créances sont certaines et liquides.</w:t>
      </w:r>
    </w:p>
    <w:p w:rsidR="00F65D72" w:rsidRDefault="00F65D72" w:rsidP="00381CF7">
      <w:pPr>
        <w:autoSpaceDE w:val="0"/>
        <w:autoSpaceDN w:val="0"/>
        <w:adjustRightInd w:val="0"/>
        <w:spacing w:after="0"/>
        <w:rPr>
          <w:rFonts w:ascii="Times New Roman" w:hAnsi="Times New Roman" w:cs="Times New Roman"/>
        </w:rPr>
      </w:pPr>
    </w:p>
    <w:p w:rsidR="00F65D72" w:rsidRDefault="00F65D72" w:rsidP="00381CF7">
      <w:pPr>
        <w:autoSpaceDE w:val="0"/>
        <w:autoSpaceDN w:val="0"/>
        <w:adjustRightInd w:val="0"/>
        <w:spacing w:after="0"/>
        <w:rPr>
          <w:rFonts w:ascii="Times New Roman" w:hAnsi="Times New Roman" w:cs="Times New Roman"/>
        </w:rPr>
      </w:pPr>
    </w:p>
    <w:p w:rsidR="00381CF7" w:rsidRPr="00F65D72" w:rsidRDefault="00381CF7" w:rsidP="00F65D72">
      <w:pPr>
        <w:pStyle w:val="Paragraphedeliste"/>
        <w:numPr>
          <w:ilvl w:val="0"/>
          <w:numId w:val="1"/>
        </w:numPr>
        <w:autoSpaceDE w:val="0"/>
        <w:autoSpaceDN w:val="0"/>
        <w:adjustRightInd w:val="0"/>
        <w:spacing w:after="0"/>
        <w:rPr>
          <w:rFonts w:ascii="Times New Roman" w:hAnsi="Times New Roman" w:cs="Times New Roman"/>
        </w:rPr>
      </w:pPr>
      <w:r w:rsidRPr="00F65D72">
        <w:rPr>
          <w:rFonts w:ascii="Times New Roman" w:hAnsi="Times New Roman" w:cs="Times New Roman"/>
        </w:rPr>
        <w:t xml:space="preserve">Il doit publier la décision de distribution sous forme d'avis au </w:t>
      </w:r>
      <w:r w:rsidR="00F65D72" w:rsidRPr="00F65D72">
        <w:rPr>
          <w:rFonts w:ascii="Times New Roman" w:hAnsi="Times New Roman" w:cs="Times New Roman"/>
        </w:rPr>
        <w:t xml:space="preserve">JORT </w:t>
      </w:r>
      <w:r w:rsidRPr="00F65D72">
        <w:rPr>
          <w:rFonts w:ascii="Times New Roman" w:hAnsi="Times New Roman" w:cs="Times New Roman"/>
        </w:rPr>
        <w:t xml:space="preserve"> et dans deux journaux quotidien</w:t>
      </w:r>
      <w:r w:rsidR="00F65D72" w:rsidRPr="00F65D72">
        <w:rPr>
          <w:rFonts w:ascii="Times New Roman" w:hAnsi="Times New Roman" w:cs="Times New Roman"/>
        </w:rPr>
        <w:t>s dont l'un est de langue arabe</w:t>
      </w:r>
      <w:r w:rsidRPr="00F65D72">
        <w:rPr>
          <w:rFonts w:ascii="Times New Roman" w:hAnsi="Times New Roman" w:cs="Times New Roman"/>
        </w:rPr>
        <w:t xml:space="preserve"> et toute personne intéressée peut faire oppositions </w:t>
      </w:r>
      <w:r w:rsidRPr="00F65D72">
        <w:rPr>
          <w:rFonts w:ascii="Times New Roman" w:hAnsi="Times New Roman" w:cs="Times New Roman"/>
          <w:b/>
          <w:u w:val="single"/>
        </w:rPr>
        <w:t xml:space="preserve">dans un délai de quatre vingt dix jours </w:t>
      </w:r>
      <w:r w:rsidRPr="00F65D72">
        <w:rPr>
          <w:rFonts w:ascii="Times New Roman" w:hAnsi="Times New Roman" w:cs="Times New Roman"/>
        </w:rPr>
        <w:t>à compter de la date de parution du dernier avis et ce, par le recours au juge des référés qui statue sur la régularité de l'opération de distribution.</w:t>
      </w:r>
    </w:p>
    <w:p w:rsidR="00F65D72" w:rsidRDefault="00F65D72" w:rsidP="00F65D72">
      <w:pPr>
        <w:autoSpaceDE w:val="0"/>
        <w:autoSpaceDN w:val="0"/>
        <w:adjustRightInd w:val="0"/>
        <w:spacing w:after="0"/>
        <w:rPr>
          <w:rFonts w:ascii="Times New Roman" w:hAnsi="Times New Roman" w:cs="Times New Roman"/>
        </w:rPr>
      </w:pPr>
    </w:p>
    <w:p w:rsidR="00F65D72" w:rsidRDefault="00381CF7" w:rsidP="00F65D72">
      <w:pPr>
        <w:autoSpaceDE w:val="0"/>
        <w:autoSpaceDN w:val="0"/>
        <w:adjustRightInd w:val="0"/>
        <w:spacing w:after="0"/>
        <w:rPr>
          <w:rFonts w:ascii="Times New Roman" w:hAnsi="Times New Roman" w:cs="Times New Roman"/>
        </w:rPr>
      </w:pPr>
      <w:r>
        <w:rPr>
          <w:rFonts w:ascii="Times New Roman" w:hAnsi="Times New Roman" w:cs="Times New Roman"/>
        </w:rPr>
        <w:lastRenderedPageBreak/>
        <w:t xml:space="preserve">Aucune répartition ne peut être opérée avant l'expiration du délai d'opposition. </w:t>
      </w:r>
    </w:p>
    <w:p w:rsidR="00F65D72" w:rsidRDefault="00F65D72" w:rsidP="00F65D72">
      <w:pPr>
        <w:autoSpaceDE w:val="0"/>
        <w:autoSpaceDN w:val="0"/>
        <w:adjustRightInd w:val="0"/>
        <w:spacing w:after="0"/>
        <w:ind w:left="708"/>
        <w:rPr>
          <w:rFonts w:ascii="Times New Roman" w:hAnsi="Times New Roman" w:cs="Times New Roman"/>
        </w:rPr>
      </w:pPr>
    </w:p>
    <w:p w:rsidR="00381CF7" w:rsidRDefault="00381CF7" w:rsidP="00F65D72">
      <w:pPr>
        <w:autoSpaceDE w:val="0"/>
        <w:autoSpaceDN w:val="0"/>
        <w:adjustRightInd w:val="0"/>
        <w:spacing w:after="0"/>
        <w:rPr>
          <w:rFonts w:ascii="Times New Roman" w:hAnsi="Times New Roman" w:cs="Times New Roman"/>
        </w:rPr>
      </w:pPr>
      <w:r>
        <w:rPr>
          <w:rFonts w:ascii="Times New Roman" w:hAnsi="Times New Roman" w:cs="Times New Roman"/>
        </w:rPr>
        <w:t>L'opposition suspend la distribution jusqu'au prononcé du jugement définitif.</w:t>
      </w:r>
    </w:p>
    <w:p w:rsidR="00F65D72" w:rsidRDefault="00F65D72" w:rsidP="00381CF7">
      <w:pPr>
        <w:autoSpaceDE w:val="0"/>
        <w:autoSpaceDN w:val="0"/>
        <w:adjustRightInd w:val="0"/>
        <w:spacing w:after="0"/>
        <w:rPr>
          <w:rFonts w:ascii="Times New Roman" w:hAnsi="Times New Roman" w:cs="Times New Roman"/>
        </w:rPr>
      </w:pPr>
    </w:p>
    <w:p w:rsidR="00F65D72" w:rsidRDefault="00F65D72" w:rsidP="00381CF7">
      <w:pPr>
        <w:autoSpaceDE w:val="0"/>
        <w:autoSpaceDN w:val="0"/>
        <w:adjustRightInd w:val="0"/>
        <w:spacing w:after="0"/>
        <w:rPr>
          <w:rFonts w:ascii="Times New Roman" w:hAnsi="Times New Roman" w:cs="Times New Roman"/>
        </w:rPr>
      </w:pPr>
    </w:p>
    <w:p w:rsidR="00381CF7" w:rsidRPr="00F65D72" w:rsidRDefault="00381CF7" w:rsidP="00F65D72">
      <w:pPr>
        <w:pStyle w:val="Paragraphedeliste"/>
        <w:numPr>
          <w:ilvl w:val="0"/>
          <w:numId w:val="2"/>
        </w:numPr>
        <w:autoSpaceDE w:val="0"/>
        <w:autoSpaceDN w:val="0"/>
        <w:adjustRightInd w:val="0"/>
        <w:spacing w:after="0"/>
        <w:rPr>
          <w:rFonts w:ascii="Times New Roman" w:hAnsi="Times New Roman" w:cs="Times New Roman"/>
        </w:rPr>
      </w:pPr>
      <w:r w:rsidRPr="00F65D72">
        <w:rPr>
          <w:rFonts w:ascii="Times New Roman" w:hAnsi="Times New Roman" w:cs="Times New Roman"/>
        </w:rPr>
        <w:t>Lorsque la liquidation résulte de la dissolution de la société, les associés peuvent, après le paiement de tous les créanciers, reprendre les biens meubles ou immeubles objet de leurs apports, sauf stipulation contraire des statuts.</w:t>
      </w:r>
    </w:p>
    <w:p w:rsidR="00381CF7" w:rsidRDefault="00381CF7" w:rsidP="00381CF7">
      <w:pPr>
        <w:autoSpaceDE w:val="0"/>
        <w:autoSpaceDN w:val="0"/>
        <w:adjustRightInd w:val="0"/>
        <w:spacing w:after="0"/>
        <w:rPr>
          <w:rFonts w:ascii="Times New Roman" w:hAnsi="Times New Roman" w:cs="Times New Roman"/>
          <w:b/>
          <w:bCs/>
        </w:rPr>
      </w:pPr>
    </w:p>
    <w:p w:rsidR="00F65D72" w:rsidRDefault="00F65D72" w:rsidP="00381CF7">
      <w:pPr>
        <w:autoSpaceDE w:val="0"/>
        <w:autoSpaceDN w:val="0"/>
        <w:adjustRightInd w:val="0"/>
        <w:spacing w:after="0"/>
        <w:rPr>
          <w:rFonts w:ascii="Times New Roman" w:hAnsi="Times New Roman" w:cs="Times New Roman"/>
          <w:b/>
          <w:bCs/>
        </w:rPr>
      </w:pPr>
    </w:p>
    <w:p w:rsidR="00F65D72" w:rsidRDefault="00F65D72" w:rsidP="00381CF7">
      <w:pPr>
        <w:autoSpaceDE w:val="0"/>
        <w:autoSpaceDN w:val="0"/>
        <w:adjustRightInd w:val="0"/>
        <w:spacing w:after="0"/>
        <w:rPr>
          <w:rFonts w:ascii="Times New Roman" w:hAnsi="Times New Roman" w:cs="Times New Roman"/>
          <w:b/>
          <w:bCs/>
        </w:rPr>
      </w:pPr>
    </w:p>
    <w:p w:rsidR="00F65D72" w:rsidRDefault="00F65D72" w:rsidP="00381CF7">
      <w:pPr>
        <w:autoSpaceDE w:val="0"/>
        <w:autoSpaceDN w:val="0"/>
        <w:adjustRightInd w:val="0"/>
        <w:spacing w:after="0"/>
        <w:rPr>
          <w:rFonts w:ascii="Times New Roman" w:hAnsi="Times New Roman" w:cs="Times New Roman"/>
          <w:b/>
          <w:bCs/>
        </w:rPr>
      </w:pPr>
    </w:p>
    <w:p w:rsidR="00180E2A" w:rsidRDefault="00180E2A" w:rsidP="00381CF7">
      <w:pPr>
        <w:autoSpaceDE w:val="0"/>
        <w:autoSpaceDN w:val="0"/>
        <w:adjustRightInd w:val="0"/>
        <w:spacing w:after="0"/>
        <w:rPr>
          <w:rFonts w:ascii="Times New Roman" w:hAnsi="Times New Roman" w:cs="Times New Roman"/>
          <w:b/>
          <w:bCs/>
        </w:rPr>
      </w:pPr>
    </w:p>
    <w:p w:rsidR="00F65D72" w:rsidRDefault="00F65D72" w:rsidP="00381CF7">
      <w:pPr>
        <w:autoSpaceDE w:val="0"/>
        <w:autoSpaceDN w:val="0"/>
        <w:adjustRightInd w:val="0"/>
        <w:spacing w:after="0"/>
        <w:rPr>
          <w:rFonts w:ascii="Times New Roman" w:hAnsi="Times New Roman" w:cs="Times New Roman"/>
          <w:b/>
          <w:bCs/>
        </w:rPr>
      </w:pPr>
    </w:p>
    <w:p w:rsidR="00F65D72" w:rsidRDefault="00F65D72" w:rsidP="00381CF7">
      <w:pPr>
        <w:autoSpaceDE w:val="0"/>
        <w:autoSpaceDN w:val="0"/>
        <w:adjustRightInd w:val="0"/>
        <w:spacing w:after="0"/>
        <w:rPr>
          <w:rFonts w:ascii="Times New Roman" w:hAnsi="Times New Roman" w:cs="Times New Roman"/>
          <w:b/>
          <w:bCs/>
        </w:rPr>
      </w:pPr>
    </w:p>
    <w:p w:rsidR="00F65D72" w:rsidRDefault="00F65D72" w:rsidP="00F65D72">
      <w:pPr>
        <w:autoSpaceDE w:val="0"/>
        <w:autoSpaceDN w:val="0"/>
        <w:adjustRightInd w:val="0"/>
        <w:spacing w:after="0"/>
        <w:jc w:val="center"/>
        <w:rPr>
          <w:rFonts w:ascii="Times New Roman" w:hAnsi="Times New Roman" w:cs="Times New Roman"/>
          <w:b/>
          <w:bCs/>
        </w:rPr>
      </w:pPr>
    </w:p>
    <w:p w:rsidR="00381CF7" w:rsidRDefault="00381CF7" w:rsidP="00F65D72">
      <w:pPr>
        <w:autoSpaceDE w:val="0"/>
        <w:autoSpaceDN w:val="0"/>
        <w:adjustRightInd w:val="0"/>
        <w:spacing w:after="0"/>
        <w:jc w:val="center"/>
        <w:rPr>
          <w:rFonts w:ascii="Times New Roman" w:hAnsi="Times New Roman" w:cs="Times New Roman"/>
          <w:b/>
          <w:bCs/>
        </w:rPr>
      </w:pPr>
      <w:r>
        <w:rPr>
          <w:rFonts w:ascii="Times New Roman" w:hAnsi="Times New Roman" w:cs="Times New Roman"/>
          <w:b/>
          <w:bCs/>
        </w:rPr>
        <w:t>Article 47</w:t>
      </w:r>
      <w:r w:rsidR="00F65D72">
        <w:rPr>
          <w:rFonts w:ascii="Times New Roman" w:hAnsi="Times New Roman" w:cs="Times New Roman"/>
          <w:b/>
          <w:bCs/>
        </w:rPr>
        <w:t xml:space="preserve"> : Conservation des livres </w:t>
      </w:r>
    </w:p>
    <w:p w:rsidR="00F65D72" w:rsidRDefault="00F65D72" w:rsidP="00381CF7">
      <w:pPr>
        <w:autoSpaceDE w:val="0"/>
        <w:autoSpaceDN w:val="0"/>
        <w:adjustRightInd w:val="0"/>
        <w:spacing w:after="0"/>
        <w:rPr>
          <w:rFonts w:ascii="Times New Roman" w:hAnsi="Times New Roman" w:cs="Times New Roman"/>
          <w:b/>
          <w:bCs/>
        </w:rPr>
      </w:pPr>
    </w:p>
    <w:p w:rsidR="00381CF7" w:rsidRDefault="00381CF7" w:rsidP="00381CF7">
      <w:pPr>
        <w:autoSpaceDE w:val="0"/>
        <w:autoSpaceDN w:val="0"/>
        <w:adjustRightInd w:val="0"/>
        <w:spacing w:after="0"/>
        <w:rPr>
          <w:rFonts w:ascii="Times New Roman" w:hAnsi="Times New Roman" w:cs="Times New Roman"/>
        </w:rPr>
      </w:pPr>
      <w:r>
        <w:rPr>
          <w:rFonts w:ascii="Times New Roman" w:hAnsi="Times New Roman" w:cs="Times New Roman"/>
        </w:rPr>
        <w:t xml:space="preserve">Le boni de liquidation est réparti entre les associés </w:t>
      </w:r>
      <w:r w:rsidRPr="005D2B5E">
        <w:rPr>
          <w:rFonts w:ascii="Times New Roman" w:hAnsi="Times New Roman" w:cs="Times New Roman"/>
          <w:u w:val="single"/>
        </w:rPr>
        <w:t>proportionnellement à leur participation</w:t>
      </w:r>
      <w:r>
        <w:rPr>
          <w:rFonts w:ascii="Times New Roman" w:hAnsi="Times New Roman" w:cs="Times New Roman"/>
        </w:rPr>
        <w:t xml:space="preserve"> dans le capital social.</w:t>
      </w:r>
    </w:p>
    <w:p w:rsidR="00F65D72" w:rsidRDefault="00F65D72" w:rsidP="00381CF7">
      <w:pPr>
        <w:autoSpaceDE w:val="0"/>
        <w:autoSpaceDN w:val="0"/>
        <w:adjustRightInd w:val="0"/>
        <w:spacing w:after="0"/>
        <w:rPr>
          <w:rFonts w:ascii="Times New Roman" w:hAnsi="Times New Roman" w:cs="Times New Roman"/>
        </w:rPr>
      </w:pPr>
    </w:p>
    <w:p w:rsidR="005D2B5E" w:rsidRDefault="00381CF7" w:rsidP="00381CF7">
      <w:pPr>
        <w:autoSpaceDE w:val="0"/>
        <w:autoSpaceDN w:val="0"/>
        <w:adjustRightInd w:val="0"/>
        <w:spacing w:after="0"/>
        <w:rPr>
          <w:rFonts w:ascii="Times New Roman" w:hAnsi="Times New Roman" w:cs="Times New Roman"/>
        </w:rPr>
      </w:pPr>
      <w:r>
        <w:rPr>
          <w:rFonts w:ascii="Times New Roman" w:hAnsi="Times New Roman" w:cs="Times New Roman"/>
        </w:rPr>
        <w:t xml:space="preserve">Après la fin de la liquidation, le liquidateur est tenu de remettre ses comptes, et de déposer au greffe du tribunal dans lequel se trouve le siège de la société dissoute, ou dans un autre lieu sûr qui lui sera désigné par le tribunal, les livres, papiers et documents relatifs à la société, si les associés ne lui indiquent, à la majorité, la personne à laquelle il devra remettre ces documents. </w:t>
      </w:r>
    </w:p>
    <w:p w:rsidR="005D2B5E" w:rsidRDefault="005D2B5E" w:rsidP="00381CF7">
      <w:pPr>
        <w:autoSpaceDE w:val="0"/>
        <w:autoSpaceDN w:val="0"/>
        <w:adjustRightInd w:val="0"/>
        <w:spacing w:after="0"/>
        <w:rPr>
          <w:rFonts w:ascii="Times New Roman" w:hAnsi="Times New Roman" w:cs="Times New Roman"/>
        </w:rPr>
      </w:pPr>
    </w:p>
    <w:p w:rsidR="005D2B5E" w:rsidRDefault="005D2B5E" w:rsidP="00381CF7">
      <w:pPr>
        <w:autoSpaceDE w:val="0"/>
        <w:autoSpaceDN w:val="0"/>
        <w:adjustRightInd w:val="0"/>
        <w:spacing w:after="0"/>
        <w:rPr>
          <w:rFonts w:ascii="Times New Roman" w:hAnsi="Times New Roman" w:cs="Times New Roman"/>
        </w:rPr>
      </w:pPr>
    </w:p>
    <w:p w:rsidR="00381CF7" w:rsidRDefault="00381CF7" w:rsidP="00381CF7">
      <w:pPr>
        <w:autoSpaceDE w:val="0"/>
        <w:autoSpaceDN w:val="0"/>
        <w:adjustRightInd w:val="0"/>
        <w:spacing w:after="0"/>
        <w:rPr>
          <w:rFonts w:ascii="Times New Roman" w:hAnsi="Times New Roman" w:cs="Times New Roman"/>
        </w:rPr>
      </w:pPr>
      <w:r>
        <w:rPr>
          <w:rFonts w:ascii="Times New Roman" w:hAnsi="Times New Roman" w:cs="Times New Roman"/>
        </w:rPr>
        <w:t xml:space="preserve">Ces derniers devront être conservés </w:t>
      </w:r>
      <w:r w:rsidRPr="005D2B5E">
        <w:rPr>
          <w:rFonts w:ascii="Times New Roman" w:hAnsi="Times New Roman" w:cs="Times New Roman"/>
          <w:b/>
          <w:u w:val="single"/>
        </w:rPr>
        <w:t>pendant trois ans</w:t>
      </w:r>
      <w:r>
        <w:rPr>
          <w:rFonts w:ascii="Times New Roman" w:hAnsi="Times New Roman" w:cs="Times New Roman"/>
        </w:rPr>
        <w:t xml:space="preserve"> à partir de la date du dépôt.</w:t>
      </w:r>
    </w:p>
    <w:p w:rsidR="00381CF7" w:rsidRDefault="00381CF7" w:rsidP="00381CF7">
      <w:pPr>
        <w:autoSpaceDE w:val="0"/>
        <w:autoSpaceDN w:val="0"/>
        <w:adjustRightInd w:val="0"/>
        <w:spacing w:after="0"/>
        <w:rPr>
          <w:rFonts w:ascii="Times New Roman" w:hAnsi="Times New Roman" w:cs="Times New Roman"/>
          <w:b/>
          <w:bCs/>
        </w:rPr>
      </w:pPr>
    </w:p>
    <w:p w:rsidR="00F65D72" w:rsidRDefault="00F65D72" w:rsidP="00381CF7">
      <w:pPr>
        <w:autoSpaceDE w:val="0"/>
        <w:autoSpaceDN w:val="0"/>
        <w:adjustRightInd w:val="0"/>
        <w:spacing w:after="0"/>
        <w:rPr>
          <w:rFonts w:ascii="Times New Roman" w:hAnsi="Times New Roman" w:cs="Times New Roman"/>
          <w:b/>
          <w:bCs/>
        </w:rPr>
      </w:pPr>
    </w:p>
    <w:p w:rsidR="00F65D72" w:rsidRDefault="00F65D72" w:rsidP="00381CF7">
      <w:pPr>
        <w:autoSpaceDE w:val="0"/>
        <w:autoSpaceDN w:val="0"/>
        <w:adjustRightInd w:val="0"/>
        <w:spacing w:after="0"/>
        <w:rPr>
          <w:rFonts w:ascii="Times New Roman" w:hAnsi="Times New Roman" w:cs="Times New Roman"/>
          <w:b/>
          <w:bCs/>
        </w:rPr>
      </w:pPr>
    </w:p>
    <w:p w:rsidR="00180E2A" w:rsidRDefault="00180E2A" w:rsidP="00381CF7">
      <w:pPr>
        <w:autoSpaceDE w:val="0"/>
        <w:autoSpaceDN w:val="0"/>
        <w:adjustRightInd w:val="0"/>
        <w:spacing w:after="0"/>
        <w:rPr>
          <w:rFonts w:ascii="Times New Roman" w:hAnsi="Times New Roman" w:cs="Times New Roman"/>
          <w:b/>
          <w:bCs/>
        </w:rPr>
      </w:pPr>
    </w:p>
    <w:p w:rsidR="00F65D72" w:rsidRDefault="00F65D72" w:rsidP="00381CF7">
      <w:pPr>
        <w:autoSpaceDE w:val="0"/>
        <w:autoSpaceDN w:val="0"/>
        <w:adjustRightInd w:val="0"/>
        <w:spacing w:after="0"/>
        <w:rPr>
          <w:rFonts w:ascii="Times New Roman" w:hAnsi="Times New Roman" w:cs="Times New Roman"/>
          <w:b/>
          <w:bCs/>
        </w:rPr>
      </w:pPr>
    </w:p>
    <w:p w:rsidR="00F65D72" w:rsidRDefault="00F65D72" w:rsidP="00381CF7">
      <w:pPr>
        <w:autoSpaceDE w:val="0"/>
        <w:autoSpaceDN w:val="0"/>
        <w:adjustRightInd w:val="0"/>
        <w:spacing w:after="0"/>
        <w:rPr>
          <w:rFonts w:ascii="Times New Roman" w:hAnsi="Times New Roman" w:cs="Times New Roman"/>
          <w:b/>
          <w:bCs/>
        </w:rPr>
      </w:pPr>
    </w:p>
    <w:p w:rsidR="00F65D72" w:rsidRDefault="00F65D72" w:rsidP="00381CF7">
      <w:pPr>
        <w:autoSpaceDE w:val="0"/>
        <w:autoSpaceDN w:val="0"/>
        <w:adjustRightInd w:val="0"/>
        <w:spacing w:after="0"/>
        <w:rPr>
          <w:rFonts w:ascii="Times New Roman" w:hAnsi="Times New Roman" w:cs="Times New Roman"/>
          <w:b/>
          <w:bCs/>
        </w:rPr>
      </w:pPr>
    </w:p>
    <w:p w:rsidR="00381CF7" w:rsidRDefault="00381CF7" w:rsidP="005D2B5E">
      <w:pPr>
        <w:autoSpaceDE w:val="0"/>
        <w:autoSpaceDN w:val="0"/>
        <w:adjustRightInd w:val="0"/>
        <w:spacing w:after="0"/>
        <w:jc w:val="center"/>
        <w:rPr>
          <w:rFonts w:ascii="Times New Roman" w:hAnsi="Times New Roman" w:cs="Times New Roman"/>
          <w:b/>
          <w:bCs/>
        </w:rPr>
      </w:pPr>
      <w:r>
        <w:rPr>
          <w:rFonts w:ascii="Times New Roman" w:hAnsi="Times New Roman" w:cs="Times New Roman"/>
          <w:b/>
          <w:bCs/>
        </w:rPr>
        <w:t>Article 48</w:t>
      </w:r>
      <w:r w:rsidR="00F65D72">
        <w:rPr>
          <w:rFonts w:ascii="Times New Roman" w:hAnsi="Times New Roman" w:cs="Times New Roman"/>
          <w:b/>
          <w:bCs/>
        </w:rPr>
        <w:t> : Publication de la clôture de la liquidation</w:t>
      </w:r>
    </w:p>
    <w:p w:rsidR="005D2B5E" w:rsidRDefault="005D2B5E" w:rsidP="005D2B5E">
      <w:pPr>
        <w:autoSpaceDE w:val="0"/>
        <w:autoSpaceDN w:val="0"/>
        <w:adjustRightInd w:val="0"/>
        <w:spacing w:after="0"/>
        <w:jc w:val="center"/>
        <w:rPr>
          <w:rFonts w:ascii="Times New Roman" w:hAnsi="Times New Roman" w:cs="Times New Roman"/>
          <w:b/>
          <w:bCs/>
        </w:rPr>
      </w:pPr>
    </w:p>
    <w:p w:rsidR="00381CF7" w:rsidRDefault="00381CF7" w:rsidP="00381CF7">
      <w:pPr>
        <w:autoSpaceDE w:val="0"/>
        <w:autoSpaceDN w:val="0"/>
        <w:adjustRightInd w:val="0"/>
        <w:spacing w:after="0"/>
        <w:rPr>
          <w:rFonts w:ascii="Times New Roman" w:hAnsi="Times New Roman" w:cs="Times New Roman"/>
        </w:rPr>
      </w:pPr>
      <w:r>
        <w:rPr>
          <w:rFonts w:ascii="Times New Roman" w:hAnsi="Times New Roman" w:cs="Times New Roman"/>
        </w:rPr>
        <w:t>Le liquidateur doit procéder à la publication de la clôture de la liquidation de la société au Journal Offic</w:t>
      </w:r>
      <w:r w:rsidR="005D2B5E">
        <w:rPr>
          <w:rFonts w:ascii="Times New Roman" w:hAnsi="Times New Roman" w:cs="Times New Roman"/>
        </w:rPr>
        <w:t>iel de la République Tunisienne</w:t>
      </w:r>
      <w:r>
        <w:rPr>
          <w:rFonts w:ascii="Times New Roman" w:hAnsi="Times New Roman" w:cs="Times New Roman"/>
        </w:rPr>
        <w:t xml:space="preserve"> et dans deux journaux quotidiens dont l'un est en langue arabe, et ce, </w:t>
      </w:r>
      <w:r w:rsidRPr="00270592">
        <w:rPr>
          <w:rFonts w:ascii="Times New Roman" w:hAnsi="Times New Roman" w:cs="Times New Roman"/>
          <w:b/>
          <w:u w:val="single"/>
        </w:rPr>
        <w:t>dans les cinq jours</w:t>
      </w:r>
      <w:r w:rsidRPr="00270592">
        <w:rPr>
          <w:rFonts w:ascii="Times New Roman" w:hAnsi="Times New Roman" w:cs="Times New Roman"/>
          <w:u w:val="single"/>
        </w:rPr>
        <w:t xml:space="preserve"> qui suivent l'inscription de la dite clôture au registre de commerce</w:t>
      </w:r>
      <w:r>
        <w:rPr>
          <w:rFonts w:ascii="Times New Roman" w:hAnsi="Times New Roman" w:cs="Times New Roman"/>
        </w:rPr>
        <w:t>.</w:t>
      </w:r>
    </w:p>
    <w:p w:rsidR="00DB6D01" w:rsidRDefault="002274A4"/>
    <w:sectPr w:rsidR="00DB6D01" w:rsidSect="0045171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4A4" w:rsidRDefault="002274A4" w:rsidP="007E4FB1">
      <w:pPr>
        <w:spacing w:after="0" w:line="240" w:lineRule="auto"/>
      </w:pPr>
      <w:r>
        <w:separator/>
      </w:r>
    </w:p>
  </w:endnote>
  <w:endnote w:type="continuationSeparator" w:id="0">
    <w:p w:rsidR="002274A4" w:rsidRDefault="002274A4" w:rsidP="007E4F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insideV w:val="single" w:sz="18" w:space="0" w:color="4F81BD" w:themeColor="accent1"/>
      </w:tblBorders>
      <w:tblCellMar>
        <w:top w:w="58" w:type="dxa"/>
        <w:left w:w="115" w:type="dxa"/>
        <w:bottom w:w="58" w:type="dxa"/>
        <w:right w:w="115" w:type="dxa"/>
      </w:tblCellMar>
      <w:tblLook w:val="04A0"/>
    </w:tblPr>
    <w:tblGrid>
      <w:gridCol w:w="9045"/>
      <w:gridCol w:w="257"/>
    </w:tblGrid>
    <w:tr w:rsidR="007E4FB1" w:rsidTr="007E4FB1">
      <w:tc>
        <w:tcPr>
          <w:tcW w:w="4862" w:type="pct"/>
        </w:tcPr>
        <w:p w:rsidR="007E4FB1" w:rsidRPr="006A53B6" w:rsidRDefault="0044729B">
          <w:pPr>
            <w:pStyle w:val="Pieddepage"/>
            <w:jc w:val="right"/>
            <w:rPr>
              <w:color w:val="262626" w:themeColor="text1" w:themeTint="D9"/>
            </w:rPr>
          </w:pPr>
          <w:r w:rsidRPr="006A53B6">
            <w:rPr>
              <w:color w:val="262626" w:themeColor="text1" w:themeTint="D9"/>
            </w:rPr>
            <w:fldChar w:fldCharType="begin"/>
          </w:r>
          <w:r w:rsidR="006E0275" w:rsidRPr="006A53B6">
            <w:rPr>
              <w:color w:val="262626" w:themeColor="text1" w:themeTint="D9"/>
            </w:rPr>
            <w:instrText xml:space="preserve"> PAGE   \* MERGEFORMAT </w:instrText>
          </w:r>
          <w:r w:rsidRPr="006A53B6">
            <w:rPr>
              <w:color w:val="262626" w:themeColor="text1" w:themeTint="D9"/>
            </w:rPr>
            <w:fldChar w:fldCharType="separate"/>
          </w:r>
          <w:r w:rsidR="00353ADD">
            <w:rPr>
              <w:noProof/>
              <w:color w:val="262626" w:themeColor="text1" w:themeTint="D9"/>
            </w:rPr>
            <w:t>2</w:t>
          </w:r>
          <w:r w:rsidRPr="006A53B6">
            <w:rPr>
              <w:color w:val="262626" w:themeColor="text1" w:themeTint="D9"/>
            </w:rPr>
            <w:fldChar w:fldCharType="end"/>
          </w:r>
        </w:p>
      </w:tc>
      <w:tc>
        <w:tcPr>
          <w:tcW w:w="138" w:type="pct"/>
        </w:tcPr>
        <w:p w:rsidR="007E4FB1" w:rsidRDefault="007E4FB1">
          <w:pPr>
            <w:pStyle w:val="Pieddepage"/>
            <w:rPr>
              <w:color w:val="4F81BD" w:themeColor="accent1"/>
            </w:rPr>
          </w:pPr>
        </w:p>
      </w:tc>
    </w:tr>
  </w:tbl>
  <w:p w:rsidR="007E4FB1" w:rsidRDefault="007E4FB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4A4" w:rsidRDefault="002274A4" w:rsidP="007E4FB1">
      <w:pPr>
        <w:spacing w:after="0" w:line="240" w:lineRule="auto"/>
      </w:pPr>
      <w:r>
        <w:separator/>
      </w:r>
    </w:p>
  </w:footnote>
  <w:footnote w:type="continuationSeparator" w:id="0">
    <w:p w:rsidR="002274A4" w:rsidRDefault="002274A4" w:rsidP="007E4F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58" w:type="dxa"/>
        <w:left w:w="115" w:type="dxa"/>
        <w:bottom w:w="58" w:type="dxa"/>
        <w:right w:w="115" w:type="dxa"/>
      </w:tblCellMar>
      <w:tblLook w:val="04A0"/>
    </w:tblPr>
    <w:tblGrid>
      <w:gridCol w:w="1109"/>
      <w:gridCol w:w="8193"/>
    </w:tblGrid>
    <w:tr w:rsidR="007E4FB1" w:rsidTr="007E4FB1">
      <w:tc>
        <w:tcPr>
          <w:tcW w:w="596" w:type="pct"/>
          <w:tcBorders>
            <w:right w:val="single" w:sz="18" w:space="0" w:color="4F81BD" w:themeColor="accent1"/>
          </w:tcBorders>
        </w:tcPr>
        <w:p w:rsidR="007E4FB1" w:rsidRDefault="007E4FB1">
          <w:pPr>
            <w:pStyle w:val="En-tte"/>
          </w:pPr>
        </w:p>
      </w:tc>
      <w:tc>
        <w:tcPr>
          <w:tcW w:w="4404" w:type="pct"/>
          <w:tcBorders>
            <w:left w:val="single" w:sz="18" w:space="0" w:color="4F81BD" w:themeColor="accent1"/>
          </w:tcBorders>
        </w:tcPr>
        <w:p w:rsidR="007E4FB1" w:rsidRDefault="00353ADD">
          <w:pPr>
            <w:pStyle w:val="En-tte"/>
            <w:rPr>
              <w:rFonts w:asciiTheme="majorHAnsi" w:eastAsiaTheme="majorEastAsia" w:hAnsiTheme="majorHAnsi" w:cstheme="majorBidi"/>
              <w:color w:val="4F81BD" w:themeColor="accent1"/>
              <w:sz w:val="24"/>
              <w:szCs w:val="24"/>
            </w:rPr>
          </w:pPr>
          <w:sdt>
            <w:sdtPr>
              <w:rPr>
                <w:rFonts w:asciiTheme="majorHAnsi" w:eastAsia="Times New Roman" w:hAnsiTheme="majorHAnsi" w:cs="Times New Roman"/>
                <w:sz w:val="24"/>
                <w:szCs w:val="24"/>
                <w:lang w:eastAsia="fr-FR"/>
              </w:rPr>
              <w:alias w:val="Titre"/>
              <w:id w:val="77580493"/>
              <w:placeholder>
                <w:docPart w:val="7DC9905FACFE491AB0C0C442DAECD153"/>
              </w:placeholder>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imes New Roman" w:hAnsiTheme="majorHAnsi" w:cs="Times New Roman"/>
                  <w:sz w:val="24"/>
                  <w:szCs w:val="24"/>
                  <w:lang w:eastAsia="fr-FR"/>
                </w:rPr>
                <w:t>Code des sociétés commerciales                                                                                                                             Livre premier– Dispositions communes                                                                            Titre premier – Dispositions générales</w:t>
              </w:r>
            </w:sdtContent>
          </w:sdt>
          <w:r>
            <w:rPr>
              <w:rFonts w:asciiTheme="majorHAnsi" w:eastAsia="Times New Roman" w:hAnsiTheme="majorHAnsi" w:cs="Times New Roman"/>
              <w:sz w:val="24"/>
              <w:szCs w:val="24"/>
              <w:lang w:eastAsia="fr-FR"/>
            </w:rPr>
            <w:t xml:space="preserve"> La dissolution des sociétés                                                                   Sous titre deux – Les effets de la dissolution</w:t>
          </w:r>
        </w:p>
      </w:tc>
    </w:tr>
  </w:tbl>
  <w:p w:rsidR="007E4FB1" w:rsidRDefault="007E4FB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56671"/>
    <w:multiLevelType w:val="hybridMultilevel"/>
    <w:tmpl w:val="9CA4B1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C130ADC"/>
    <w:multiLevelType w:val="hybridMultilevel"/>
    <w:tmpl w:val="0680BC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B7B1521"/>
    <w:multiLevelType w:val="hybridMultilevel"/>
    <w:tmpl w:val="E10E8F06"/>
    <w:lvl w:ilvl="0" w:tplc="FF74B79E">
      <w:start w:val="4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7E4FB1"/>
    <w:rsid w:val="001523FE"/>
    <w:rsid w:val="00180E2A"/>
    <w:rsid w:val="002274A4"/>
    <w:rsid w:val="00240A34"/>
    <w:rsid w:val="00270592"/>
    <w:rsid w:val="00353ADD"/>
    <w:rsid w:val="00381CF7"/>
    <w:rsid w:val="00401C17"/>
    <w:rsid w:val="0044729B"/>
    <w:rsid w:val="0045171B"/>
    <w:rsid w:val="005A231B"/>
    <w:rsid w:val="005D2B5E"/>
    <w:rsid w:val="00616E68"/>
    <w:rsid w:val="00660D76"/>
    <w:rsid w:val="006A53B6"/>
    <w:rsid w:val="006E0275"/>
    <w:rsid w:val="00740CD5"/>
    <w:rsid w:val="007E4FB1"/>
    <w:rsid w:val="00AA7533"/>
    <w:rsid w:val="00D736F1"/>
    <w:rsid w:val="00EA66F0"/>
    <w:rsid w:val="00F65D72"/>
    <w:rsid w:val="00F9479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CF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E4FB1"/>
    <w:pPr>
      <w:tabs>
        <w:tab w:val="center" w:pos="4536"/>
        <w:tab w:val="right" w:pos="9072"/>
      </w:tabs>
      <w:spacing w:after="0" w:line="240" w:lineRule="auto"/>
    </w:pPr>
  </w:style>
  <w:style w:type="character" w:customStyle="1" w:styleId="En-tteCar">
    <w:name w:val="En-tête Car"/>
    <w:basedOn w:val="Policepardfaut"/>
    <w:link w:val="En-tte"/>
    <w:uiPriority w:val="99"/>
    <w:rsid w:val="007E4FB1"/>
  </w:style>
  <w:style w:type="paragraph" w:styleId="Pieddepage">
    <w:name w:val="footer"/>
    <w:basedOn w:val="Normal"/>
    <w:link w:val="PieddepageCar"/>
    <w:uiPriority w:val="99"/>
    <w:unhideWhenUsed/>
    <w:rsid w:val="007E4F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4FB1"/>
  </w:style>
  <w:style w:type="paragraph" w:styleId="Textedebulles">
    <w:name w:val="Balloon Text"/>
    <w:basedOn w:val="Normal"/>
    <w:link w:val="TextedebullesCar"/>
    <w:uiPriority w:val="99"/>
    <w:semiHidden/>
    <w:unhideWhenUsed/>
    <w:rsid w:val="007E4FB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4FB1"/>
    <w:rPr>
      <w:rFonts w:ascii="Tahoma" w:hAnsi="Tahoma" w:cs="Tahoma"/>
      <w:sz w:val="16"/>
      <w:szCs w:val="16"/>
    </w:rPr>
  </w:style>
  <w:style w:type="paragraph" w:styleId="Paragraphedeliste">
    <w:name w:val="List Paragraph"/>
    <w:basedOn w:val="Normal"/>
    <w:uiPriority w:val="34"/>
    <w:qFormat/>
    <w:rsid w:val="00F65D72"/>
    <w:pPr>
      <w:ind w:left="720"/>
      <w:contextualSpacing/>
    </w:pPr>
  </w:style>
</w:styles>
</file>

<file path=word/webSettings.xml><?xml version="1.0" encoding="utf-8"?>
<w:webSettings xmlns:r="http://schemas.openxmlformats.org/officeDocument/2006/relationships" xmlns:w="http://schemas.openxmlformats.org/wordprocessingml/2006/main">
  <w:divs>
    <w:div w:id="239095678">
      <w:bodyDiv w:val="1"/>
      <w:marLeft w:val="0"/>
      <w:marRight w:val="0"/>
      <w:marTop w:val="0"/>
      <w:marBottom w:val="0"/>
      <w:divBdr>
        <w:top w:val="none" w:sz="0" w:space="0" w:color="auto"/>
        <w:left w:val="none" w:sz="0" w:space="0" w:color="auto"/>
        <w:bottom w:val="none" w:sz="0" w:space="0" w:color="auto"/>
        <w:right w:val="none" w:sz="0" w:space="0" w:color="auto"/>
      </w:divBdr>
    </w:div>
    <w:div w:id="29078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DC9905FACFE491AB0C0C442DAECD153"/>
        <w:category>
          <w:name w:val="Général"/>
          <w:gallery w:val="placeholder"/>
        </w:category>
        <w:types>
          <w:type w:val="bbPlcHdr"/>
        </w:types>
        <w:behaviors>
          <w:behavior w:val="content"/>
        </w:behaviors>
        <w:guid w:val="{DE997648-D559-4579-AFD0-0F21F1133517}"/>
      </w:docPartPr>
      <w:docPartBody>
        <w:p w:rsidR="00000000" w:rsidRDefault="00242553" w:rsidP="00242553">
          <w:pPr>
            <w:pStyle w:val="7DC9905FACFE491AB0C0C442DAECD153"/>
          </w:pPr>
          <w:r>
            <w:rPr>
              <w:rFonts w:asciiTheme="majorHAnsi" w:eastAsiaTheme="majorEastAsia" w:hAnsiTheme="majorHAnsi" w:cstheme="majorBidi"/>
              <w:color w:val="4F81BD" w:themeColor="accent1"/>
              <w:sz w:val="24"/>
              <w:szCs w:val="24"/>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22ACA"/>
    <w:rsid w:val="00242553"/>
    <w:rsid w:val="002B662C"/>
    <w:rsid w:val="00322ACA"/>
    <w:rsid w:val="0038541B"/>
    <w:rsid w:val="00860DCE"/>
    <w:rsid w:val="009F599A"/>
    <w:rsid w:val="00B91C0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C0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009556BDB8245608EB4E02B28CE2411">
    <w:name w:val="5009556BDB8245608EB4E02B28CE2411"/>
    <w:rsid w:val="00322ACA"/>
  </w:style>
  <w:style w:type="paragraph" w:customStyle="1" w:styleId="DDA283BAB268419BAAD97E4ED3DEB432">
    <w:name w:val="DDA283BAB268419BAAD97E4ED3DEB432"/>
    <w:rsid w:val="00322ACA"/>
  </w:style>
  <w:style w:type="paragraph" w:customStyle="1" w:styleId="1469E7DD84F146C192D6808B9EA3FB10">
    <w:name w:val="1469E7DD84F146C192D6808B9EA3FB10"/>
    <w:rsid w:val="00322ACA"/>
  </w:style>
  <w:style w:type="paragraph" w:customStyle="1" w:styleId="A120A922111A42D299E5BEDC1A0A5428">
    <w:name w:val="A120A922111A42D299E5BEDC1A0A5428"/>
    <w:rsid w:val="00860DCE"/>
  </w:style>
  <w:style w:type="paragraph" w:customStyle="1" w:styleId="7DC9905FACFE491AB0C0C442DAECD153">
    <w:name w:val="7DC9905FACFE491AB0C0C442DAECD153"/>
    <w:rsid w:val="0024255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510</Words>
  <Characters>2809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Code des sociétés commerciales                                                                                                                             Livre premier– Dispositions communes                                                                </vt:lpstr>
    </vt:vector>
  </TitlesOfParts>
  <Company>.</Company>
  <LinksUpToDate>false</LinksUpToDate>
  <CharactersWithSpaces>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des sociétés commerciales                                                                                                                             Livre premier– Dispositions communes                                                                            Titre premier – Dispositions générales</dc:title>
  <dc:subject/>
  <dc:creator>.</dc:creator>
  <cp:keywords/>
  <dc:description/>
  <cp:lastModifiedBy>ZIED</cp:lastModifiedBy>
  <cp:revision>10</cp:revision>
  <dcterms:created xsi:type="dcterms:W3CDTF">2012-02-08T16:21:00Z</dcterms:created>
  <dcterms:modified xsi:type="dcterms:W3CDTF">2012-03-15T14:35:00Z</dcterms:modified>
</cp:coreProperties>
</file>